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47" w:rsidRPr="00B112CF" w:rsidRDefault="00E44047">
      <w:pPr>
        <w:spacing w:line="276" w:lineRule="auto"/>
        <w:rPr>
          <w:lang w:val="ru-RU"/>
        </w:rPr>
      </w:pPr>
    </w:p>
    <w:p w:rsidR="00053004" w:rsidRDefault="00053004">
      <w:pPr>
        <w:spacing w:line="276" w:lineRule="auto"/>
      </w:pPr>
    </w:p>
    <w:p w:rsidR="00053004" w:rsidRPr="00053004" w:rsidRDefault="00053004" w:rsidP="00053004"/>
    <w:p w:rsidR="00053004" w:rsidRPr="00053004" w:rsidRDefault="00053004" w:rsidP="00053004"/>
    <w:p w:rsidR="00053004" w:rsidRDefault="00053004">
      <w:pPr>
        <w:spacing w:line="276" w:lineRule="auto"/>
      </w:pPr>
    </w:p>
    <w:p w:rsidR="00053004" w:rsidRDefault="00053004" w:rsidP="00053004">
      <w:pPr>
        <w:tabs>
          <w:tab w:val="left" w:pos="5404"/>
        </w:tabs>
        <w:spacing w:line="276" w:lineRule="auto"/>
      </w:pPr>
      <w:r>
        <w:tab/>
      </w:r>
    </w:p>
    <w:p w:rsidR="003A3AF6" w:rsidRDefault="00FD1465">
      <w:pPr>
        <w:spacing w:line="276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-80645</wp:posOffset>
                </wp:positionH>
                <wp:positionV relativeFrom="page">
                  <wp:posOffset>3662045</wp:posOffset>
                </wp:positionV>
                <wp:extent cx="5600700" cy="53708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175E0D" w:rsidRPr="00325C64" w:rsidRDefault="00175E0D" w:rsidP="00C05D49">
                            <w:pPr>
                              <w:rPr>
                                <w:lang w:val="ru-RU"/>
                              </w:rPr>
                            </w:pPr>
                            <w:r w:rsidRPr="00325C64">
                              <w:rPr>
                                <w:rFonts w:asciiTheme="majorHAnsi" w:eastAsiaTheme="majorEastAsia" w:hAnsiTheme="majorHAnsi" w:cstheme="majorBidi"/>
                                <w:color w:val="006691"/>
                                <w:sz w:val="80"/>
                                <w:lang w:val="ru-RU"/>
                              </w:rPr>
                              <w:t xml:space="preserve">Отчет о базе поставок: ООО "Фанпром ОП </w:t>
                            </w:r>
                            <w:proofErr w:type="spellStart"/>
                            <w:r w:rsidRPr="00325C64">
                              <w:rPr>
                                <w:rFonts w:asciiTheme="majorHAnsi" w:eastAsiaTheme="majorEastAsia" w:hAnsiTheme="majorHAnsi" w:cstheme="majorBidi"/>
                                <w:color w:val="006691"/>
                                <w:sz w:val="80"/>
                                <w:lang w:val="ru-RU"/>
                              </w:rPr>
                              <w:t>Уренское</w:t>
                            </w:r>
                            <w:proofErr w:type="spellEnd"/>
                            <w:r w:rsidRPr="00325C64">
                              <w:rPr>
                                <w:rFonts w:asciiTheme="majorHAnsi" w:eastAsiaTheme="majorEastAsia" w:hAnsiTheme="majorHAnsi" w:cstheme="majorBidi"/>
                                <w:color w:val="006691"/>
                                <w:sz w:val="80"/>
                                <w:lang w:val="ru-RU"/>
                              </w:rPr>
                              <w:t>"</w:t>
                            </w:r>
                          </w:p>
                          <w:p w:rsidR="00175E0D" w:rsidRPr="00325C64" w:rsidRDefault="00175E0D" w:rsidP="00C05D4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75E0D" w:rsidRPr="00325C64" w:rsidRDefault="00175E0D" w:rsidP="00C05D4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75E0D" w:rsidRPr="00325C64" w:rsidRDefault="00175E0D" w:rsidP="00C05D4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75E0D" w:rsidRPr="00325C64" w:rsidRDefault="00175E0D" w:rsidP="00C05D49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75E0D" w:rsidRPr="00E542DA" w:rsidRDefault="0008133D" w:rsidP="004E5B6B">
                            <w:pPr>
                              <w:rPr>
                                <w:color w:val="006691"/>
                              </w:rPr>
                            </w:pPr>
                            <w:sdt>
                              <w:sdtPr>
                                <w:rPr>
                                  <w:rStyle w:val="SBRAuditType"/>
                                </w:rPr>
                                <w:alias w:val="Audit cycle"/>
                                <w:tag w:val="Audit cycle"/>
                                <w:id w:val="1845354655"/>
                                <w:dropDownList>
                                  <w:listItem w:value="Choose an item."/>
                                  <w:listItem w:displayText="Main (Initial) Audit" w:value="Main (Initial) Audit"/>
                                  <w:listItem w:displayText="First Surveillance Audit" w:value="First Surveillance Audit"/>
                                  <w:listItem w:displayText="Second Surveillance Audit" w:value="Second Surveillance Audit"/>
                                  <w:listItem w:displayText="Third Surveillance Audit" w:value="Third Surveillance Audit"/>
                                  <w:listItem w:displayText="Fourth Surveillance Audit" w:value="Fourth Surveillance Audit"/>
                                  <w:listItem w:displayText="Re-assessment" w:value="Re-assessment"/>
                                  <w:listItem w:displayText="Scope Change Audit" w:value="Scope Change Audit"/>
                                  <w:listItem w:displayText="Reinstatement audit" w:value="Reinstatement audit"/>
                                </w:dropDownList>
                              </w:sdtPr>
                              <w:sdtEndPr>
                                <w:rPr>
                                  <w:rStyle w:val="20"/>
                                  <w:rFonts w:asciiTheme="majorHAnsi" w:eastAsiaTheme="majorEastAsia" w:hAnsiTheme="majorHAnsi" w:cstheme="majorBidi"/>
                                  <w:color w:val="006890"/>
                                  <w:sz w:val="36"/>
                                  <w:szCs w:val="36"/>
                                </w:rPr>
                              </w:sdtEndPr>
                              <w:sdtContent>
                                <w:r w:rsidR="00175E0D">
                                  <w:rPr>
                                    <w:rStyle w:val="SBRAuditType"/>
                                  </w:rPr>
                                  <w:t>Main (Initial) Audit</w:t>
                                </w:r>
                              </w:sdtContent>
                            </w:sdt>
                          </w:p>
                          <w:p w:rsidR="00175E0D" w:rsidRPr="00E542DA" w:rsidRDefault="00175E0D" w:rsidP="004E5B6B">
                            <w:pPr>
                              <w:rPr>
                                <w:color w:val="006691"/>
                              </w:rPr>
                            </w:pPr>
                          </w:p>
                          <w:p w:rsidR="00175E0D" w:rsidRPr="00A2664E" w:rsidRDefault="00175E0D" w:rsidP="00493940">
                            <w:pPr>
                              <w:rPr>
                                <w:color w:val="006890"/>
                              </w:rPr>
                            </w:pPr>
                            <w:r w:rsidRPr="00A2664E">
                              <w:rPr>
                                <w:color w:val="006890"/>
                              </w:rPr>
                              <w:t>www.sbp-cert.org</w:t>
                            </w:r>
                          </w:p>
                          <w:p w:rsidR="00175E0D" w:rsidRDefault="00175E0D" w:rsidP="004E5B6B"/>
                          <w:p w:rsidR="00175E0D" w:rsidRDefault="00175E0D" w:rsidP="004E5B6B"/>
                          <w:p w:rsidR="00175E0D" w:rsidRPr="004E5B6B" w:rsidRDefault="00175E0D" w:rsidP="004E5B6B">
                            <w:pPr>
                              <w:rPr>
                                <w:color w:val="3D946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288.35pt;width:441pt;height:42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" filled="f" stroked="f">
                <v:textbox inset="0,0,0,0">
                  <w:txbxContent>
                    <w:p w:rsidR="00175E0D" w:rsidRPr="00325C64" w:rsidRDefault="00175E0D" w:rsidP="00C05D49">
                      <w:pPr>
                        <w:rPr>
                          <w:lang w:val="ru-RU"/>
                        </w:rPr>
                      </w:pPr>
                      <w:r w:rsidRPr="00325C64">
                        <w:rPr>
                          <w:rFonts w:asciiTheme="majorHAnsi" w:eastAsiaTheme="majorEastAsia" w:hAnsiTheme="majorHAnsi" w:cstheme="majorBidi"/>
                          <w:color w:val="006691"/>
                          <w:sz w:val="80"/>
                          <w:lang w:val="ru-RU"/>
                        </w:rPr>
                        <w:t xml:space="preserve">Отчет о базе поставок: ООО "Фанпром ОП </w:t>
                      </w:r>
                      <w:proofErr w:type="spellStart"/>
                      <w:r w:rsidRPr="00325C64">
                        <w:rPr>
                          <w:rFonts w:asciiTheme="majorHAnsi" w:eastAsiaTheme="majorEastAsia" w:hAnsiTheme="majorHAnsi" w:cstheme="majorBidi"/>
                          <w:color w:val="006691"/>
                          <w:sz w:val="80"/>
                          <w:lang w:val="ru-RU"/>
                        </w:rPr>
                        <w:t>Уренское</w:t>
                      </w:r>
                      <w:proofErr w:type="spellEnd"/>
                      <w:r w:rsidRPr="00325C64">
                        <w:rPr>
                          <w:rFonts w:asciiTheme="majorHAnsi" w:eastAsiaTheme="majorEastAsia" w:hAnsiTheme="majorHAnsi" w:cstheme="majorBidi"/>
                          <w:color w:val="006691"/>
                          <w:sz w:val="80"/>
                          <w:lang w:val="ru-RU"/>
                        </w:rPr>
                        <w:t>"</w:t>
                      </w:r>
                    </w:p>
                    <w:p w:rsidR="00175E0D" w:rsidRPr="00325C64" w:rsidRDefault="00175E0D" w:rsidP="00C05D49">
                      <w:pPr>
                        <w:rPr>
                          <w:lang w:val="ru-RU"/>
                        </w:rPr>
                      </w:pPr>
                    </w:p>
                    <w:p w:rsidR="00175E0D" w:rsidRPr="00325C64" w:rsidRDefault="00175E0D" w:rsidP="00C05D49">
                      <w:pPr>
                        <w:rPr>
                          <w:lang w:val="ru-RU"/>
                        </w:rPr>
                      </w:pPr>
                    </w:p>
                    <w:p w:rsidR="00175E0D" w:rsidRPr="00325C64" w:rsidRDefault="00175E0D" w:rsidP="00C05D49">
                      <w:pPr>
                        <w:rPr>
                          <w:lang w:val="ru-RU"/>
                        </w:rPr>
                      </w:pPr>
                    </w:p>
                    <w:p w:rsidR="00175E0D" w:rsidRPr="00325C64" w:rsidRDefault="00175E0D" w:rsidP="00C05D49">
                      <w:pPr>
                        <w:rPr>
                          <w:lang w:val="ru-RU"/>
                        </w:rPr>
                      </w:pPr>
                    </w:p>
                    <w:p w:rsidR="00175E0D" w:rsidRPr="00E542DA" w:rsidRDefault="0008133D" w:rsidP="004E5B6B">
                      <w:pPr>
                        <w:rPr>
                          <w:color w:val="006691"/>
                        </w:rPr>
                      </w:pPr>
                      <w:sdt>
                        <w:sdtPr>
                          <w:rPr>
                            <w:rStyle w:val="SBRAuditType"/>
                          </w:rPr>
                          <w:alias w:val="Audit cycle"/>
                          <w:tag w:val="Audit cycle"/>
                          <w:id w:val="1845354655"/>
                          <w:dropDownList>
                            <w:listItem w:value="Choose an item."/>
                            <w:listItem w:displayText="Main (Initial) Audit" w:value="Main (Initial) Audit"/>
                            <w:listItem w:displayText="First Surveillance Audit" w:value="First Surveillance Audit"/>
                            <w:listItem w:displayText="Second Surveillance Audit" w:value="Second Surveillance Audit"/>
                            <w:listItem w:displayText="Third Surveillance Audit" w:value="Third Surveillance Audit"/>
                            <w:listItem w:displayText="Fourth Surveillance Audit" w:value="Fourth Surveillance Audit"/>
                            <w:listItem w:displayText="Re-assessment" w:value="Re-assessment"/>
                            <w:listItem w:displayText="Scope Change Audit" w:value="Scope Change Audit"/>
                            <w:listItem w:displayText="Reinstatement audit" w:value="Reinstatement audit"/>
                          </w:dropDownList>
                        </w:sdtPr>
                        <w:sdtEndPr>
                          <w:rPr>
                            <w:rStyle w:val="20"/>
                            <w:rFonts w:asciiTheme="majorHAnsi" w:eastAsiaTheme="majorEastAsia" w:hAnsiTheme="majorHAnsi" w:cstheme="majorBidi"/>
                            <w:color w:val="006890"/>
                            <w:sz w:val="36"/>
                            <w:szCs w:val="36"/>
                          </w:rPr>
                        </w:sdtEndPr>
                        <w:sdtContent>
                          <w:r w:rsidR="00175E0D">
                            <w:rPr>
                              <w:rStyle w:val="SBRAuditType"/>
                            </w:rPr>
                            <w:t>Main (Initial) Audit</w:t>
                          </w:r>
                        </w:sdtContent>
                      </w:sdt>
                    </w:p>
                    <w:p w:rsidR="00175E0D" w:rsidRPr="00E542DA" w:rsidRDefault="00175E0D" w:rsidP="004E5B6B">
                      <w:pPr>
                        <w:rPr>
                          <w:color w:val="006691"/>
                        </w:rPr>
                      </w:pPr>
                    </w:p>
                    <w:p w:rsidR="00175E0D" w:rsidRPr="00A2664E" w:rsidRDefault="00175E0D" w:rsidP="00493940">
                      <w:pPr>
                        <w:rPr>
                          <w:color w:val="006890"/>
                        </w:rPr>
                      </w:pPr>
                      <w:r w:rsidRPr="00A2664E">
                        <w:rPr>
                          <w:color w:val="006890"/>
                        </w:rPr>
                        <w:t>www.sbp-cert.org</w:t>
                      </w:r>
                    </w:p>
                    <w:p w:rsidR="00175E0D" w:rsidRDefault="00175E0D" w:rsidP="004E5B6B"/>
                    <w:p w:rsidR="00175E0D" w:rsidRDefault="00175E0D" w:rsidP="004E5B6B"/>
                    <w:p w:rsidR="00175E0D" w:rsidRPr="004E5B6B" w:rsidRDefault="00175E0D" w:rsidP="004E5B6B">
                      <w:pPr>
                        <w:rPr>
                          <w:color w:val="3D946D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6D4B" w:rsidRPr="00053004"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3933825</wp:posOffset>
                </wp:positionV>
                <wp:extent cx="5600700" cy="57150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175E0D" w:rsidRPr="00325C64" w:rsidRDefault="00175E0D" w:rsidP="00493940">
                            <w:pPr>
                              <w:rPr>
                                <w:b/>
                                <w:i/>
                                <w:color w:val="00669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25C64">
                              <w:rPr>
                                <w:rFonts w:ascii="Georgia" w:eastAsiaTheme="majorEastAsia" w:hAnsi="Georgia" w:cstheme="majorBidi"/>
                                <w:color w:val="006890"/>
                                <w:spacing w:val="5"/>
                                <w:kern w:val="28"/>
                                <w:sz w:val="40"/>
                                <w:szCs w:val="40"/>
                                <w:lang w:val="ru-RU"/>
                              </w:rPr>
                              <w:t>Заполняется в соответствии с шаблоном Отчета Базы поставок Версии 1.3</w:t>
                            </w:r>
                          </w:p>
                          <w:p w:rsidR="00175E0D" w:rsidRPr="00325C64" w:rsidRDefault="00175E0D" w:rsidP="00493940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175E0D" w:rsidRPr="003E2C0D" w:rsidRDefault="00175E0D" w:rsidP="00493940">
                            <w:r w:rsidRPr="00325C64">
                              <w:rPr>
                                <w:i/>
                                <w:lang w:val="ru-RU"/>
                              </w:rPr>
                              <w:t xml:space="preserve">Для получения дополнительной информации о структуре </w:t>
                            </w:r>
                            <w:r w:rsidRPr="00325C64">
                              <w:rPr>
                                <w:i/>
                              </w:rPr>
                              <w:t>SBP</w:t>
                            </w:r>
                            <w:r w:rsidRPr="00325C64">
                              <w:rPr>
                                <w:i/>
                                <w:lang w:val="ru-RU"/>
                              </w:rPr>
                              <w:t xml:space="preserve"> и просмотра полного набора документации см. </w:t>
                            </w:r>
                            <w:hyperlink r:id="rId8" w:history="1">
                              <w:r w:rsidRPr="00A2664E">
                                <w:rPr>
                                  <w:i/>
                                  <w:color w:val="006890"/>
                                  <w:u w:val="single"/>
                                </w:rPr>
                                <w:t>www.sbp-cert.org</w:t>
                              </w:r>
                            </w:hyperlink>
                          </w:p>
                          <w:p w:rsidR="00175E0D" w:rsidRDefault="00175E0D" w:rsidP="00493940">
                            <w:pPr>
                              <w:rPr>
                                <w:i/>
                              </w:rPr>
                            </w:pPr>
                          </w:p>
                          <w:p w:rsidR="00175E0D" w:rsidRPr="0066412A" w:rsidRDefault="00175E0D" w:rsidP="00493940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 w:rsidRPr="0066412A">
                              <w:rPr>
                                <w:i/>
                                <w:lang w:val="ru-RU"/>
                              </w:rPr>
                              <w:t>История документов</w:t>
                            </w:r>
                          </w:p>
                          <w:p w:rsidR="00175E0D" w:rsidRPr="00325C64" w:rsidRDefault="00175E0D" w:rsidP="00325C64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 w:rsidRPr="00325C64">
                              <w:rPr>
                                <w:i/>
                                <w:lang w:val="ru-RU"/>
                              </w:rPr>
                              <w:t>Версия 1.0: опубликовано 26 марта 2015 г.</w:t>
                            </w:r>
                          </w:p>
                          <w:p w:rsidR="00175E0D" w:rsidRPr="00325C64" w:rsidRDefault="00175E0D" w:rsidP="00325C64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 w:rsidRPr="00325C64">
                              <w:rPr>
                                <w:i/>
                                <w:lang w:val="ru-RU"/>
                              </w:rPr>
                              <w:t>Версия 1.1 опубликована 22 февраля 2016 года</w:t>
                            </w:r>
                          </w:p>
                          <w:p w:rsidR="00175E0D" w:rsidRPr="0066412A" w:rsidRDefault="00175E0D" w:rsidP="00325C64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 w:rsidRPr="0066412A">
                              <w:rPr>
                                <w:i/>
                                <w:lang w:val="ru-RU"/>
                              </w:rPr>
                              <w:t>Версия 1.2 опубликована 23 июня 2016 года</w:t>
                            </w:r>
                          </w:p>
                          <w:p w:rsidR="00175E0D" w:rsidRPr="00325C64" w:rsidRDefault="00175E0D" w:rsidP="00325C64">
                            <w:pPr>
                              <w:rPr>
                                <w:i/>
                                <w:lang w:val="ru-RU"/>
                              </w:rPr>
                            </w:pPr>
                            <w:r w:rsidRPr="00325C64">
                              <w:rPr>
                                <w:i/>
                                <w:lang w:val="ru-RU"/>
                              </w:rPr>
                              <w:t>Версия 1.3 опубликована 14 января 2019 года; переиздана 3 апреля 2020 года</w:t>
                            </w:r>
                          </w:p>
                          <w:p w:rsidR="00175E0D" w:rsidRPr="00325C64" w:rsidRDefault="00175E0D" w:rsidP="003A3AF6">
                            <w:pPr>
                              <w:rPr>
                                <w:i/>
                                <w:lang w:val="ru-RU"/>
                              </w:rPr>
                            </w:pPr>
                          </w:p>
                          <w:p w:rsidR="00175E0D" w:rsidRPr="001B53A6" w:rsidRDefault="00175E0D" w:rsidP="007E2D15">
                            <w:pPr>
                              <w:rPr>
                                <w:i/>
                              </w:rPr>
                            </w:pPr>
                            <w:r w:rsidRPr="001B53A6">
                              <w:rPr>
                                <w:rFonts w:cstheme="minorHAnsi"/>
                                <w:i/>
                              </w:rPr>
                              <w:t>©</w:t>
                            </w:r>
                            <w:r w:rsidRPr="00F65317">
                              <w:rPr>
                                <w:i/>
                              </w:rPr>
                              <w:t xml:space="preserve"> Copyright Sustainable Biomass P</w:t>
                            </w:r>
                            <w:r>
                              <w:rPr>
                                <w:i/>
                              </w:rPr>
                              <w:t>rogram</w:t>
                            </w:r>
                            <w:r w:rsidRPr="00F65317">
                              <w:rPr>
                                <w:i/>
                              </w:rPr>
                              <w:t xml:space="preserve"> L</w:t>
                            </w:r>
                            <w:r>
                              <w:rPr>
                                <w:i/>
                              </w:rPr>
                              <w:t>imi</w:t>
                            </w:r>
                            <w:r w:rsidRPr="00F65317">
                              <w:rPr>
                                <w:i/>
                              </w:rPr>
                              <w:t>t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Pr="00F65317">
                              <w:rPr>
                                <w:i/>
                              </w:rPr>
                              <w:t xml:space="preserve">d </w:t>
                            </w:r>
                            <w:r>
                              <w:rPr>
                                <w:i/>
                              </w:rPr>
                              <w:t>2020</w:t>
                            </w:r>
                          </w:p>
                          <w:p w:rsidR="00175E0D" w:rsidRPr="001B53A6" w:rsidRDefault="00175E0D" w:rsidP="007E2D1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6.5pt;margin-top:309.75pt;width:441pt;height:4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" filled="f" stroked="f">
                <v:textbox inset="0,0,0,0">
                  <w:txbxContent>
                    <w:p w:rsidR="00175E0D" w:rsidRPr="00325C64" w:rsidRDefault="00175E0D" w:rsidP="00493940">
                      <w:pPr>
                        <w:rPr>
                          <w:b/>
                          <w:i/>
                          <w:color w:val="006691"/>
                          <w:sz w:val="24"/>
                          <w:szCs w:val="24"/>
                          <w:lang w:val="ru-RU"/>
                        </w:rPr>
                      </w:pPr>
                      <w:r w:rsidRPr="00325C64">
                        <w:rPr>
                          <w:rFonts w:ascii="Georgia" w:eastAsiaTheme="majorEastAsia" w:hAnsi="Georgia" w:cstheme="majorBidi"/>
                          <w:color w:val="006890"/>
                          <w:spacing w:val="5"/>
                          <w:kern w:val="28"/>
                          <w:sz w:val="40"/>
                          <w:szCs w:val="40"/>
                          <w:lang w:val="ru-RU"/>
                        </w:rPr>
                        <w:t>Заполняется в соответствии с шаблоном Отчета Базы поставок Версии 1.3</w:t>
                      </w:r>
                    </w:p>
                    <w:p w:rsidR="00175E0D" w:rsidRPr="00325C64" w:rsidRDefault="00175E0D" w:rsidP="00493940">
                      <w:pPr>
                        <w:rPr>
                          <w:lang w:val="ru-RU"/>
                        </w:rPr>
                      </w:pPr>
                    </w:p>
                    <w:p w:rsidR="00175E0D" w:rsidRPr="003E2C0D" w:rsidRDefault="00175E0D" w:rsidP="00493940">
                      <w:r w:rsidRPr="00325C64">
                        <w:rPr>
                          <w:i/>
                          <w:lang w:val="ru-RU"/>
                        </w:rPr>
                        <w:t xml:space="preserve">Для получения дополнительной информации о структуре </w:t>
                      </w:r>
                      <w:r w:rsidRPr="00325C64">
                        <w:rPr>
                          <w:i/>
                        </w:rPr>
                        <w:t>SBP</w:t>
                      </w:r>
                      <w:r w:rsidRPr="00325C64">
                        <w:rPr>
                          <w:i/>
                          <w:lang w:val="ru-RU"/>
                        </w:rPr>
                        <w:t xml:space="preserve"> и просмотра полного набора документации см. </w:t>
                      </w:r>
                      <w:hyperlink r:id="rId9" w:history="1">
                        <w:r w:rsidRPr="00A2664E">
                          <w:rPr>
                            <w:i/>
                            <w:color w:val="006890"/>
                            <w:u w:val="single"/>
                          </w:rPr>
                          <w:t>www.sbp-cert.org</w:t>
                        </w:r>
                      </w:hyperlink>
                    </w:p>
                    <w:p w:rsidR="00175E0D" w:rsidRDefault="00175E0D" w:rsidP="00493940">
                      <w:pPr>
                        <w:rPr>
                          <w:i/>
                        </w:rPr>
                      </w:pPr>
                    </w:p>
                    <w:p w:rsidR="00175E0D" w:rsidRPr="0066412A" w:rsidRDefault="00175E0D" w:rsidP="00493940">
                      <w:pPr>
                        <w:rPr>
                          <w:i/>
                          <w:lang w:val="ru-RU"/>
                        </w:rPr>
                      </w:pPr>
                      <w:r w:rsidRPr="0066412A">
                        <w:rPr>
                          <w:i/>
                          <w:lang w:val="ru-RU"/>
                        </w:rPr>
                        <w:t>История документов</w:t>
                      </w:r>
                    </w:p>
                    <w:p w:rsidR="00175E0D" w:rsidRPr="00325C64" w:rsidRDefault="00175E0D" w:rsidP="00325C64">
                      <w:pPr>
                        <w:rPr>
                          <w:i/>
                          <w:lang w:val="ru-RU"/>
                        </w:rPr>
                      </w:pPr>
                      <w:r w:rsidRPr="00325C64">
                        <w:rPr>
                          <w:i/>
                          <w:lang w:val="ru-RU"/>
                        </w:rPr>
                        <w:t>Версия 1.0: опубликовано 26 марта 2015 г.</w:t>
                      </w:r>
                    </w:p>
                    <w:p w:rsidR="00175E0D" w:rsidRPr="00325C64" w:rsidRDefault="00175E0D" w:rsidP="00325C64">
                      <w:pPr>
                        <w:rPr>
                          <w:i/>
                          <w:lang w:val="ru-RU"/>
                        </w:rPr>
                      </w:pPr>
                      <w:r w:rsidRPr="00325C64">
                        <w:rPr>
                          <w:i/>
                          <w:lang w:val="ru-RU"/>
                        </w:rPr>
                        <w:t>Версия 1.1 опубликована 22 февраля 2016 года</w:t>
                      </w:r>
                    </w:p>
                    <w:p w:rsidR="00175E0D" w:rsidRPr="0066412A" w:rsidRDefault="00175E0D" w:rsidP="00325C64">
                      <w:pPr>
                        <w:rPr>
                          <w:i/>
                          <w:lang w:val="ru-RU"/>
                        </w:rPr>
                      </w:pPr>
                      <w:r w:rsidRPr="0066412A">
                        <w:rPr>
                          <w:i/>
                          <w:lang w:val="ru-RU"/>
                        </w:rPr>
                        <w:t>Версия 1.2 опубликована 23 июня 2016 года</w:t>
                      </w:r>
                    </w:p>
                    <w:p w:rsidR="00175E0D" w:rsidRPr="00325C64" w:rsidRDefault="00175E0D" w:rsidP="00325C64">
                      <w:pPr>
                        <w:rPr>
                          <w:i/>
                          <w:lang w:val="ru-RU"/>
                        </w:rPr>
                      </w:pPr>
                      <w:r w:rsidRPr="00325C64">
                        <w:rPr>
                          <w:i/>
                          <w:lang w:val="ru-RU"/>
                        </w:rPr>
                        <w:t>Версия 1.3 опубликована 14 января 2019 года; переиздана 3 апреля 2020 года</w:t>
                      </w:r>
                    </w:p>
                    <w:p w:rsidR="00175E0D" w:rsidRPr="00325C64" w:rsidRDefault="00175E0D" w:rsidP="003A3AF6">
                      <w:pPr>
                        <w:rPr>
                          <w:i/>
                          <w:lang w:val="ru-RU"/>
                        </w:rPr>
                      </w:pPr>
                    </w:p>
                    <w:p w:rsidR="00175E0D" w:rsidRPr="001B53A6" w:rsidRDefault="00175E0D" w:rsidP="007E2D15">
                      <w:pPr>
                        <w:rPr>
                          <w:i/>
                        </w:rPr>
                      </w:pPr>
                      <w:r w:rsidRPr="001B53A6">
                        <w:rPr>
                          <w:rFonts w:cstheme="minorHAnsi"/>
                          <w:i/>
                        </w:rPr>
                        <w:t>©</w:t>
                      </w:r>
                      <w:r w:rsidRPr="00F65317">
                        <w:rPr>
                          <w:i/>
                        </w:rPr>
                        <w:t xml:space="preserve"> Copyright Sustainable Biomass P</w:t>
                      </w:r>
                      <w:r>
                        <w:rPr>
                          <w:i/>
                        </w:rPr>
                        <w:t>rogram</w:t>
                      </w:r>
                      <w:r w:rsidRPr="00F65317">
                        <w:rPr>
                          <w:i/>
                        </w:rPr>
                        <w:t xml:space="preserve"> L</w:t>
                      </w:r>
                      <w:r>
                        <w:rPr>
                          <w:i/>
                        </w:rPr>
                        <w:t>imi</w:t>
                      </w:r>
                      <w:r w:rsidRPr="00F65317">
                        <w:rPr>
                          <w:i/>
                        </w:rPr>
                        <w:t>t</w:t>
                      </w:r>
                      <w:r>
                        <w:rPr>
                          <w:i/>
                        </w:rPr>
                        <w:t>e</w:t>
                      </w:r>
                      <w:r w:rsidRPr="00F65317">
                        <w:rPr>
                          <w:i/>
                        </w:rPr>
                        <w:t xml:space="preserve">d </w:t>
                      </w:r>
                      <w:r>
                        <w:rPr>
                          <w:i/>
                        </w:rPr>
                        <w:t>2020</w:t>
                      </w:r>
                    </w:p>
                    <w:p w:rsidR="00175E0D" w:rsidRPr="001B53A6" w:rsidRDefault="00175E0D" w:rsidP="007E2D15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AF6"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0"/>
          <w:szCs w:val="20"/>
          <w:lang w:val="en-GB"/>
        </w:rPr>
        <w:id w:val="-73107667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D488C" w:rsidRPr="00325C64" w:rsidRDefault="00325C64">
          <w:pPr>
            <w:pStyle w:val="ac"/>
            <w:rPr>
              <w:color w:val="006890"/>
              <w:lang w:val="ru-RU"/>
            </w:rPr>
          </w:pPr>
          <w:r>
            <w:rPr>
              <w:color w:val="006890"/>
            </w:rPr>
            <w:t>Co</w:t>
          </w:r>
          <w:r w:rsidRPr="00325C64">
            <w:rPr>
              <w:color w:val="006890"/>
              <w:lang w:val="ru-RU"/>
            </w:rPr>
            <w:t>держание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 Обзор 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2 Описание базы снабжения 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2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2.1 Общее описание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…………………………………………………………………………………………………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2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2.2 Меры, принятые для содействия сертификации среди поставщиков сырья 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3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2.3 Программа отбора проб окончательного урожая 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3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2.4 Технологическая схема ввода исходного сырья с указанием типа исходного сырья [необязательно] 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3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2.5 количественное определение базы снабжения </w:t>
          </w:r>
          <w:r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3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3 Требование к оценке базы поставок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5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4 Оценка Базы снабжения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6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4.1 Область применения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6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4.2 Обоснование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6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4.3 Результаты оценки риска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6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4.4 Результаты Программы проверки поставщиков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6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4.5 Заключение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………………………………………………………………………………………………………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6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5 Процесс Оценки Базы поставок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7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6 Консультации с заинтересованными сторонами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8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6.1 Ответ на замечания заинтересованных сторон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8</w:t>
          </w:r>
        </w:p>
        <w:p w:rsidR="00325C64" w:rsidRPr="00175E0D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7 Обзор первоначальной оценки риска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 ……………………………………………………………………….</w:t>
          </w:r>
          <w:r w:rsidRP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9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8 Программа проверки поставщиков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10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8.1 Описание Программы проверки поставщиков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10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8.2 Посещение объекта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10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8.3 Выводы из Программы проверки поставщиков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10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9 Меры По смягчению последствий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11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9.1 Меры по смягчению последствий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11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9.2 Мониторинг и результаты </w:t>
          </w:r>
          <w:r w:rsidR="00175E0D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11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10 Подробные выводы по показателям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12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11 рассмотрении отчета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13</w:t>
          </w:r>
        </w:p>
        <w:p w:rsidR="00ED0133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11.1 Экспертная оценка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13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lastRenderedPageBreak/>
            <w:t xml:space="preserve"> 11.2 государственных или дополнительные комментарии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……………………………………………13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12 Утверждение отчета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14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13 Обновления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15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13.1 Существенные изменения в базе снабжения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………………………………………………………..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15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13.2 Эффективность предыдущих мер по смягчению последствий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15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13.3 Новые рейтинги рисков и меры по их снижению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…………………………………………………...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15</w:t>
          </w:r>
        </w:p>
        <w:p w:rsidR="00325C64" w:rsidRPr="00325C64" w:rsidRDefault="00325C64" w:rsidP="00325C64">
          <w:pPr>
            <w:pStyle w:val="ac"/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</w:pP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 xml:space="preserve">13.4 Фактические показатели по сырью за предыдущие 12 месяцев </w:t>
          </w:r>
          <w:r w:rsidR="00ED0133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……………………………….</w:t>
          </w:r>
          <w:r w:rsidRPr="00325C64">
            <w:rPr>
              <w:rFonts w:asciiTheme="minorHAnsi" w:eastAsiaTheme="minorHAnsi" w:hAnsiTheme="minorHAnsi" w:cstheme="minorBidi"/>
              <w:b/>
              <w:bCs w:val="0"/>
              <w:noProof/>
              <w:color w:val="auto"/>
              <w:sz w:val="20"/>
              <w:szCs w:val="20"/>
              <w:lang w:val="ru-RU"/>
            </w:rPr>
            <w:t>15</w:t>
          </w:r>
        </w:p>
        <w:p w:rsidR="005D488C" w:rsidRPr="00325C64" w:rsidRDefault="00325C64" w:rsidP="00325C64">
          <w:pPr>
            <w:rPr>
              <w:lang w:val="ru-RU"/>
            </w:rPr>
          </w:pPr>
          <w:r w:rsidRPr="00325C64">
            <w:rPr>
              <w:b/>
              <w:noProof/>
              <w:lang w:val="ru-RU"/>
            </w:rPr>
            <w:t xml:space="preserve">13.5 Прогнозные показатели по сырью на ближайшие 12 месяцев </w:t>
          </w:r>
          <w:r w:rsidR="00ED0133">
            <w:rPr>
              <w:b/>
              <w:noProof/>
              <w:lang w:val="ru-RU"/>
            </w:rPr>
            <w:t>………………………………….</w:t>
          </w:r>
          <w:r w:rsidRPr="00325C64">
            <w:rPr>
              <w:b/>
              <w:noProof/>
              <w:lang w:val="ru-RU"/>
            </w:rPr>
            <w:t>15</w:t>
          </w:r>
        </w:p>
      </w:sdtContent>
    </w:sdt>
    <w:p w:rsidR="00694330" w:rsidRPr="00325C64" w:rsidRDefault="00694330" w:rsidP="00694330">
      <w:pPr>
        <w:rPr>
          <w:lang w:val="ru-RU"/>
        </w:rPr>
        <w:sectPr w:rsidR="00694330" w:rsidRPr="00325C64" w:rsidSect="00C05D49"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1134" w:footer="680" w:gutter="0"/>
          <w:pgNumType w:fmt="lowerRoman"/>
          <w:cols w:space="708"/>
          <w:titlePg/>
          <w:docGrid w:linePitch="360"/>
        </w:sectPr>
      </w:pPr>
    </w:p>
    <w:p w:rsidR="00DD6D07" w:rsidRPr="00ED0133" w:rsidRDefault="00DD6D07" w:rsidP="00694330">
      <w:pPr>
        <w:pStyle w:val="1"/>
        <w:pageBreakBefore w:val="0"/>
        <w:rPr>
          <w:lang w:val="ru-RU"/>
        </w:rPr>
      </w:pPr>
      <w:bookmarkStart w:id="0" w:name="_Toc454366452"/>
      <w:proofErr w:type="spellStart"/>
      <w:r w:rsidRPr="00E542DA">
        <w:lastRenderedPageBreak/>
        <w:t>O</w:t>
      </w:r>
      <w:bookmarkEnd w:id="0"/>
      <w:r w:rsidR="00ED0133">
        <w:t>бзор</w:t>
      </w:r>
      <w:proofErr w:type="spellEnd"/>
    </w:p>
    <w:p w:rsidR="00DD6D07" w:rsidRPr="00ED0133" w:rsidRDefault="00ED0133" w:rsidP="00DD6D07">
      <w:pPr>
        <w:rPr>
          <w:lang w:val="ru-RU"/>
        </w:rPr>
      </w:pPr>
      <w:r>
        <w:rPr>
          <w:lang w:val="ru-RU"/>
        </w:rPr>
        <w:t>Название</w:t>
      </w:r>
      <w:r w:rsidRPr="00ED0133">
        <w:rPr>
          <w:lang w:val="ru-RU"/>
        </w:rPr>
        <w:t xml:space="preserve"> </w:t>
      </w:r>
      <w:r>
        <w:rPr>
          <w:lang w:val="ru-RU"/>
        </w:rPr>
        <w:t>производителя</w:t>
      </w:r>
      <w:r w:rsidR="00DD6D07" w:rsidRPr="00ED0133">
        <w:rPr>
          <w:lang w:val="ru-RU"/>
        </w:rPr>
        <w:t xml:space="preserve">: </w:t>
      </w:r>
      <w:r w:rsidR="00DD6D07" w:rsidRPr="00ED0133">
        <w:rPr>
          <w:lang w:val="ru-RU"/>
        </w:rPr>
        <w:tab/>
      </w:r>
      <w:r>
        <w:rPr>
          <w:lang w:val="ru-RU"/>
        </w:rPr>
        <w:t>ООО</w:t>
      </w:r>
      <w:r w:rsidR="00A008B0" w:rsidRPr="00ED0133">
        <w:rPr>
          <w:lang w:val="ru-RU"/>
        </w:rPr>
        <w:t xml:space="preserve"> </w:t>
      </w:r>
      <w:r w:rsidRPr="00ED0133">
        <w:rPr>
          <w:lang w:val="ru-RU"/>
        </w:rPr>
        <w:t>Фанпром</w:t>
      </w:r>
      <w:r w:rsidR="00A008B0" w:rsidRPr="00ED0133">
        <w:rPr>
          <w:lang w:val="ru-RU"/>
        </w:rPr>
        <w:t xml:space="preserve"> </w:t>
      </w:r>
      <w:r>
        <w:t>O</w:t>
      </w:r>
      <w:r w:rsidRPr="00ED0133">
        <w:rPr>
          <w:lang w:val="ru-RU"/>
        </w:rPr>
        <w:t>П</w:t>
      </w:r>
      <w:r w:rsidR="00A008B0" w:rsidRPr="00ED0133">
        <w:rPr>
          <w:lang w:val="ru-RU"/>
        </w:rPr>
        <w:t xml:space="preserve"> </w:t>
      </w:r>
      <w:proofErr w:type="spellStart"/>
      <w:r w:rsidRPr="00ED0133">
        <w:rPr>
          <w:lang w:val="ru-RU"/>
        </w:rPr>
        <w:t>Уренское</w:t>
      </w:r>
      <w:proofErr w:type="spellEnd"/>
    </w:p>
    <w:p w:rsidR="00DD6D07" w:rsidRPr="00FE7E91" w:rsidRDefault="00ED0133" w:rsidP="00FE7E91">
      <w:pPr>
        <w:ind w:left="720"/>
        <w:jc w:val="center"/>
        <w:rPr>
          <w:lang w:val="ru-RU"/>
        </w:rPr>
      </w:pPr>
      <w:r w:rsidRPr="00ED0133">
        <w:rPr>
          <w:lang w:val="ru-RU"/>
        </w:rPr>
        <w:t xml:space="preserve">Местонахождение </w:t>
      </w:r>
      <w:proofErr w:type="gramStart"/>
      <w:r w:rsidRPr="00ED0133">
        <w:rPr>
          <w:lang w:val="ru-RU"/>
        </w:rPr>
        <w:t>производителя</w:t>
      </w:r>
      <w:r w:rsidR="00DD6D07" w:rsidRPr="00ED0133">
        <w:rPr>
          <w:lang w:val="ru-RU"/>
        </w:rPr>
        <w:t>:</w:t>
      </w:r>
      <w:r w:rsidR="00DD6D07" w:rsidRPr="00ED0133">
        <w:rPr>
          <w:lang w:val="ru-RU"/>
        </w:rPr>
        <w:tab/>
      </w:r>
      <w:proofErr w:type="gramEnd"/>
      <w:r w:rsidR="00943B6A" w:rsidRPr="00ED0133">
        <w:rPr>
          <w:lang w:val="ru-RU"/>
        </w:rPr>
        <w:tab/>
      </w:r>
      <w:r>
        <w:rPr>
          <w:lang w:val="ru-RU"/>
        </w:rPr>
        <w:t>Механиз</w:t>
      </w:r>
      <w:r w:rsidR="00FE7E91">
        <w:rPr>
          <w:lang w:val="ru-RU"/>
        </w:rPr>
        <w:t>аторов ул</w:t>
      </w:r>
      <w:r w:rsidR="00A008B0" w:rsidRPr="00ED0133">
        <w:rPr>
          <w:lang w:val="ru-RU"/>
        </w:rPr>
        <w:t xml:space="preserve">., 45/1, </w:t>
      </w:r>
      <w:r w:rsidR="00FE7E91" w:rsidRPr="00FE7E91">
        <w:rPr>
          <w:lang w:val="ru-RU"/>
        </w:rPr>
        <w:t>Урень</w:t>
      </w:r>
      <w:r w:rsidR="00A008B0" w:rsidRPr="00ED0133">
        <w:rPr>
          <w:lang w:val="ru-RU"/>
        </w:rPr>
        <w:t xml:space="preserve">, </w:t>
      </w:r>
      <w:r w:rsidR="00FE7E91" w:rsidRPr="00FE7E91">
        <w:rPr>
          <w:lang w:val="ru-RU"/>
        </w:rPr>
        <w:t xml:space="preserve">Нижегородская </w:t>
      </w:r>
      <w:r w:rsidR="00FE7E91">
        <w:rPr>
          <w:lang w:val="ru-RU"/>
        </w:rPr>
        <w:t xml:space="preserve">                       </w:t>
      </w:r>
      <w:r w:rsidR="00FE7E91" w:rsidRPr="00FE7E91">
        <w:rPr>
          <w:lang w:val="ru-RU"/>
        </w:rPr>
        <w:t>область</w:t>
      </w:r>
      <w:r w:rsidR="00A008B0" w:rsidRPr="00ED0133">
        <w:rPr>
          <w:lang w:val="ru-RU"/>
        </w:rPr>
        <w:t xml:space="preserve">, 606803, </w:t>
      </w:r>
      <w:r w:rsidR="00FE7E91" w:rsidRPr="00FE7E91">
        <w:rPr>
          <w:lang w:val="ru-RU"/>
        </w:rPr>
        <w:t>Россия</w:t>
      </w:r>
    </w:p>
    <w:p w:rsidR="00DD6D07" w:rsidRPr="00FE7E91" w:rsidRDefault="00FE7E91" w:rsidP="00DD6D07">
      <w:pPr>
        <w:rPr>
          <w:lang w:val="ru-RU"/>
        </w:rPr>
      </w:pPr>
      <w:r w:rsidRPr="00FE7E91">
        <w:rPr>
          <w:lang w:val="ru-RU"/>
        </w:rPr>
        <w:t xml:space="preserve">Географическое </w:t>
      </w:r>
      <w:proofErr w:type="gramStart"/>
      <w:r w:rsidRPr="00FE7E91">
        <w:rPr>
          <w:lang w:val="ru-RU"/>
        </w:rPr>
        <w:t>положение</w:t>
      </w:r>
      <w:r w:rsidR="00DD6D07" w:rsidRPr="00FE7E91">
        <w:rPr>
          <w:lang w:val="ru-RU"/>
        </w:rPr>
        <w:t>:</w:t>
      </w:r>
      <w:r w:rsidR="00DD6D07" w:rsidRPr="00FE7E91">
        <w:rPr>
          <w:lang w:val="ru-RU"/>
        </w:rPr>
        <w:tab/>
      </w:r>
      <w:proofErr w:type="gramEnd"/>
      <w:r w:rsidR="00943B6A" w:rsidRPr="00FE7E91">
        <w:rPr>
          <w:lang w:val="ru-RU"/>
        </w:rPr>
        <w:tab/>
      </w:r>
      <w:r w:rsidR="00A008B0" w:rsidRPr="00FE7E91">
        <w:rPr>
          <w:lang w:val="ru-RU"/>
        </w:rPr>
        <w:t>57.473153, 45.795808</w:t>
      </w:r>
    </w:p>
    <w:p w:rsidR="00DD6D07" w:rsidRPr="00FE7E91" w:rsidRDefault="00FE7E91" w:rsidP="00F13EF3">
      <w:pPr>
        <w:ind w:left="2880" w:hanging="2880"/>
        <w:rPr>
          <w:lang w:val="ru-RU"/>
        </w:rPr>
      </w:pPr>
      <w:r>
        <w:rPr>
          <w:lang w:val="ru-RU"/>
        </w:rPr>
        <w:t xml:space="preserve">Первичный </w:t>
      </w:r>
      <w:proofErr w:type="gramStart"/>
      <w:r>
        <w:rPr>
          <w:lang w:val="ru-RU"/>
        </w:rPr>
        <w:t>контакт</w:t>
      </w:r>
      <w:r w:rsidR="00DD6D07" w:rsidRPr="00FE7E91">
        <w:rPr>
          <w:lang w:val="ru-RU"/>
        </w:rPr>
        <w:t>:</w:t>
      </w:r>
      <w:r w:rsidR="00DD6D07" w:rsidRPr="00FE7E91">
        <w:rPr>
          <w:lang w:val="ru-RU"/>
        </w:rPr>
        <w:tab/>
      </w:r>
      <w:proofErr w:type="gramEnd"/>
      <w:r>
        <w:rPr>
          <w:lang w:val="ru-RU"/>
        </w:rPr>
        <w:t>Наталья</w:t>
      </w:r>
      <w:r w:rsidR="00A008B0" w:rsidRPr="00FE7E91">
        <w:rPr>
          <w:lang w:val="ru-RU"/>
        </w:rPr>
        <w:t xml:space="preserve"> </w:t>
      </w:r>
      <w:r w:rsidRPr="00FE7E91">
        <w:rPr>
          <w:lang w:val="ru-RU"/>
        </w:rPr>
        <w:t>Викторовна</w:t>
      </w:r>
      <w:r w:rsidR="00A008B0" w:rsidRPr="00FE7E91">
        <w:rPr>
          <w:lang w:val="ru-RU"/>
        </w:rPr>
        <w:t xml:space="preserve"> </w:t>
      </w:r>
      <w:r>
        <w:rPr>
          <w:lang w:val="ru-RU"/>
        </w:rPr>
        <w:t>Мельникова,</w:t>
      </w:r>
      <w:r w:rsidR="00F13EF3" w:rsidRPr="00FE7E91">
        <w:rPr>
          <w:lang w:val="ru-RU"/>
        </w:rPr>
        <w:t xml:space="preserve"> </w:t>
      </w:r>
      <w:r w:rsidRPr="00FE7E91">
        <w:rPr>
          <w:lang w:val="ru-RU"/>
        </w:rPr>
        <w:t>Я</w:t>
      </w:r>
      <w:r>
        <w:rPr>
          <w:lang w:val="ru-RU"/>
        </w:rPr>
        <w:t>. Горева</w:t>
      </w:r>
      <w:r w:rsidR="00A008B0" w:rsidRPr="00ED0133">
        <w:rPr>
          <w:lang w:val="ru-RU"/>
        </w:rPr>
        <w:t xml:space="preserve"> </w:t>
      </w:r>
      <w:r w:rsidRPr="00FE7E91">
        <w:rPr>
          <w:lang w:val="ru-RU"/>
        </w:rPr>
        <w:t>у</w:t>
      </w:r>
      <w:r>
        <w:rPr>
          <w:lang w:val="ru-RU"/>
        </w:rPr>
        <w:t>л</w:t>
      </w:r>
      <w:r w:rsidR="00A008B0" w:rsidRPr="00FE7E91">
        <w:rPr>
          <w:lang w:val="ru-RU"/>
        </w:rPr>
        <w:t xml:space="preserve">., </w:t>
      </w:r>
      <w:r w:rsidR="008F466B" w:rsidRPr="00FE7E91">
        <w:rPr>
          <w:lang w:val="ru-RU"/>
        </w:rPr>
        <w:t>23</w:t>
      </w:r>
      <w:r w:rsidRPr="00FE7E91">
        <w:rPr>
          <w:lang w:val="ru-RU"/>
        </w:rPr>
        <w:t>Г</w:t>
      </w:r>
      <w:r>
        <w:rPr>
          <w:lang w:val="ru-RU"/>
        </w:rPr>
        <w:t>, Тоншаево</w:t>
      </w:r>
      <w:r w:rsidR="008F466B" w:rsidRPr="00FE7E91">
        <w:rPr>
          <w:lang w:val="ru-RU"/>
        </w:rPr>
        <w:t xml:space="preserve">, </w:t>
      </w:r>
      <w:r>
        <w:rPr>
          <w:lang w:val="ru-RU"/>
        </w:rPr>
        <w:t>Нижегородская область</w:t>
      </w:r>
      <w:r w:rsidR="008F466B" w:rsidRPr="00FE7E91">
        <w:rPr>
          <w:lang w:val="ru-RU"/>
        </w:rPr>
        <w:t>, 606950</w:t>
      </w:r>
      <w:r w:rsidR="00A008B0" w:rsidRPr="00FE7E91">
        <w:rPr>
          <w:lang w:val="ru-RU"/>
        </w:rPr>
        <w:t xml:space="preserve">, </w:t>
      </w:r>
      <w:r w:rsidRPr="00FE7E91">
        <w:rPr>
          <w:lang w:val="ru-RU"/>
        </w:rPr>
        <w:t>Россия</w:t>
      </w:r>
      <w:r w:rsidR="00F13EF3" w:rsidRPr="00FE7E91">
        <w:rPr>
          <w:lang w:val="ru-RU"/>
        </w:rPr>
        <w:t xml:space="preserve">, </w:t>
      </w:r>
      <w:r w:rsidR="00A008B0" w:rsidRPr="00FE7E91">
        <w:rPr>
          <w:lang w:val="ru-RU"/>
        </w:rPr>
        <w:t>+79159520356,</w:t>
      </w:r>
      <w:r w:rsidR="009201C5" w:rsidRPr="00FE7E91">
        <w:rPr>
          <w:lang w:val="ru-RU"/>
        </w:rPr>
        <w:t xml:space="preserve"> </w:t>
      </w:r>
      <w:r w:rsidR="009201C5" w:rsidRPr="009201C5">
        <w:t>n</w:t>
      </w:r>
      <w:r w:rsidR="009201C5" w:rsidRPr="00FE7E91">
        <w:rPr>
          <w:lang w:val="ru-RU"/>
        </w:rPr>
        <w:t>.</w:t>
      </w:r>
      <w:proofErr w:type="spellStart"/>
      <w:r w:rsidR="009201C5" w:rsidRPr="009201C5">
        <w:t>melnikova</w:t>
      </w:r>
      <w:proofErr w:type="spellEnd"/>
      <w:r w:rsidR="009201C5" w:rsidRPr="00FE7E91">
        <w:rPr>
          <w:lang w:val="ru-RU"/>
        </w:rPr>
        <w:t>@</w:t>
      </w:r>
      <w:proofErr w:type="spellStart"/>
      <w:r w:rsidR="009201C5" w:rsidRPr="009201C5">
        <w:t>starwoodnn</w:t>
      </w:r>
      <w:proofErr w:type="spellEnd"/>
      <w:r w:rsidR="009201C5" w:rsidRPr="00FE7E91">
        <w:rPr>
          <w:lang w:val="ru-RU"/>
        </w:rPr>
        <w:t>.</w:t>
      </w:r>
      <w:r w:rsidR="009201C5" w:rsidRPr="009201C5">
        <w:t>com</w:t>
      </w:r>
    </w:p>
    <w:p w:rsidR="00DD6D07" w:rsidRPr="00ED0133" w:rsidRDefault="00FE7E91" w:rsidP="00DD6D07">
      <w:pPr>
        <w:rPr>
          <w:lang w:val="ru-RU"/>
        </w:rPr>
      </w:pPr>
      <w:r w:rsidRPr="00FE7E91">
        <w:rPr>
          <w:lang w:val="ru-RU"/>
        </w:rPr>
        <w:t xml:space="preserve">Сайт </w:t>
      </w:r>
      <w:proofErr w:type="gramStart"/>
      <w:r w:rsidRPr="00FE7E91">
        <w:rPr>
          <w:lang w:val="ru-RU"/>
        </w:rPr>
        <w:t>компании</w:t>
      </w:r>
      <w:r w:rsidR="00DD6D07" w:rsidRPr="00ED0133">
        <w:rPr>
          <w:lang w:val="ru-RU"/>
        </w:rPr>
        <w:t>:</w:t>
      </w:r>
      <w:r w:rsidR="00DD6D07" w:rsidRPr="00ED0133">
        <w:rPr>
          <w:lang w:val="ru-RU"/>
        </w:rPr>
        <w:tab/>
      </w:r>
      <w:proofErr w:type="gramEnd"/>
      <w:r w:rsidR="00943B6A" w:rsidRPr="00ED0133">
        <w:rPr>
          <w:lang w:val="ru-RU"/>
        </w:rPr>
        <w:tab/>
      </w:r>
      <w:r w:rsidR="008F466B">
        <w:t>www</w:t>
      </w:r>
      <w:r w:rsidR="008F466B" w:rsidRPr="00ED0133">
        <w:rPr>
          <w:lang w:val="ru-RU"/>
        </w:rPr>
        <w:t>.</w:t>
      </w:r>
      <w:proofErr w:type="spellStart"/>
      <w:r w:rsidR="008F466B" w:rsidRPr="008F466B">
        <w:rPr>
          <w:lang w:val="en-US"/>
        </w:rPr>
        <w:t>starwoodnn</w:t>
      </w:r>
      <w:proofErr w:type="spellEnd"/>
      <w:r w:rsidR="008F466B" w:rsidRPr="00ED0133">
        <w:rPr>
          <w:lang w:val="ru-RU"/>
        </w:rPr>
        <w:t>.</w:t>
      </w:r>
      <w:r w:rsidR="008F466B" w:rsidRPr="008F466B">
        <w:rPr>
          <w:lang w:val="en-US"/>
        </w:rPr>
        <w:t>com</w:t>
      </w:r>
    </w:p>
    <w:p w:rsidR="00DD6D07" w:rsidRPr="009A0B66" w:rsidRDefault="009A0B66" w:rsidP="00DD6D07">
      <w:pPr>
        <w:rPr>
          <w:lang w:val="ru-RU"/>
        </w:rPr>
      </w:pPr>
      <w:r>
        <w:rPr>
          <w:lang w:val="ru-RU"/>
        </w:rPr>
        <w:t xml:space="preserve">Дата завершения </w:t>
      </w:r>
      <w:proofErr w:type="gramStart"/>
      <w:r>
        <w:rPr>
          <w:lang w:val="ru-RU"/>
        </w:rPr>
        <w:t>отчета</w:t>
      </w:r>
      <w:r w:rsidR="00DD6D07" w:rsidRPr="009A0B66">
        <w:rPr>
          <w:lang w:val="ru-RU"/>
        </w:rPr>
        <w:t>:</w:t>
      </w:r>
      <w:r w:rsidR="00DD6D07" w:rsidRPr="009A0B66">
        <w:rPr>
          <w:lang w:val="ru-RU"/>
        </w:rPr>
        <w:tab/>
      </w:r>
      <w:proofErr w:type="gramEnd"/>
      <w:r w:rsidR="00943B6A" w:rsidRPr="009A0B66">
        <w:rPr>
          <w:lang w:val="ru-RU"/>
        </w:rPr>
        <w:tab/>
      </w:r>
      <w:r w:rsidR="00107D29" w:rsidRPr="009A0B66">
        <w:rPr>
          <w:lang w:val="ru-RU"/>
        </w:rPr>
        <w:t>03</w:t>
      </w:r>
      <w:r w:rsidR="00262B51" w:rsidRPr="009A0B66">
        <w:rPr>
          <w:lang w:val="ru-RU"/>
        </w:rPr>
        <w:t>/0</w:t>
      </w:r>
      <w:r w:rsidR="00107D29" w:rsidRPr="009A0B66">
        <w:rPr>
          <w:lang w:val="ru-RU"/>
        </w:rPr>
        <w:t>8</w:t>
      </w:r>
      <w:r w:rsidR="00262B51" w:rsidRPr="009A0B66">
        <w:rPr>
          <w:lang w:val="ru-RU"/>
        </w:rPr>
        <w:t>/2020</w:t>
      </w:r>
    </w:p>
    <w:p w:rsidR="00DD6D07" w:rsidRPr="009A0B66" w:rsidRDefault="009A0B66" w:rsidP="00DD6D07">
      <w:pPr>
        <w:rPr>
          <w:lang w:val="ru-RU"/>
        </w:rPr>
      </w:pPr>
      <w:r>
        <w:rPr>
          <w:lang w:val="ru-RU"/>
        </w:rPr>
        <w:t>Закрытие последнего</w:t>
      </w:r>
      <w:r w:rsidRPr="009A0B66">
        <w:rPr>
          <w:lang w:val="ru-RU"/>
        </w:rPr>
        <w:t xml:space="preserve"> </w:t>
      </w:r>
      <w:r>
        <w:t>CB</w:t>
      </w:r>
      <w:r w:rsidRPr="009A0B66">
        <w:rPr>
          <w:lang w:val="ru-RU"/>
        </w:rPr>
        <w:t xml:space="preserve"> </w:t>
      </w:r>
      <w:proofErr w:type="gramStart"/>
      <w:r w:rsidRPr="009A0B66">
        <w:rPr>
          <w:lang w:val="ru-RU"/>
        </w:rPr>
        <w:t>аудита</w:t>
      </w:r>
      <w:r w:rsidR="00DD6D07" w:rsidRPr="009A0B66">
        <w:rPr>
          <w:lang w:val="ru-RU"/>
        </w:rPr>
        <w:t>:</w:t>
      </w:r>
      <w:r w:rsidR="00DD6D07" w:rsidRPr="009A0B66">
        <w:rPr>
          <w:lang w:val="ru-RU"/>
        </w:rPr>
        <w:tab/>
      </w:r>
      <w:proofErr w:type="gramEnd"/>
      <w:r w:rsidR="00943B6A" w:rsidRPr="009A0B66">
        <w:rPr>
          <w:lang w:val="ru-RU"/>
        </w:rPr>
        <w:tab/>
      </w:r>
      <w:r w:rsidR="00A008B0" w:rsidRPr="009A0B66">
        <w:rPr>
          <w:lang w:val="ru-RU"/>
        </w:rPr>
        <w:t>1</w:t>
      </w:r>
      <w:r w:rsidR="00033312" w:rsidRPr="009A0B66">
        <w:rPr>
          <w:lang w:val="ru-RU"/>
        </w:rPr>
        <w:t>8</w:t>
      </w:r>
      <w:r w:rsidR="00262B51" w:rsidRPr="009A0B66">
        <w:rPr>
          <w:lang w:val="ru-RU"/>
        </w:rPr>
        <w:t>/08/2020</w:t>
      </w:r>
      <w:r w:rsidR="00F13EF3" w:rsidRPr="009A0B66">
        <w:rPr>
          <w:lang w:val="ru-RU"/>
        </w:rPr>
        <w:t xml:space="preserve">, </w:t>
      </w:r>
      <w:r w:rsidRPr="009A0B66">
        <w:rPr>
          <w:lang w:val="ru-RU"/>
        </w:rPr>
        <w:t>Урень</w:t>
      </w:r>
    </w:p>
    <w:p w:rsidR="00DD6D07" w:rsidRPr="009A0B66" w:rsidRDefault="009A0B66" w:rsidP="00DD6D07">
      <w:pPr>
        <w:rPr>
          <w:lang w:val="ru-RU"/>
        </w:rPr>
      </w:pPr>
      <w:r w:rsidRPr="009A0B66">
        <w:rPr>
          <w:lang w:val="ru-RU"/>
        </w:rPr>
        <w:t>Наименование</w:t>
      </w:r>
      <w:r w:rsidR="00DD6D07" w:rsidRPr="009A0B66">
        <w:rPr>
          <w:lang w:val="ru-RU"/>
        </w:rPr>
        <w:t xml:space="preserve"> </w:t>
      </w:r>
      <w:proofErr w:type="gramStart"/>
      <w:r w:rsidR="00DD6D07">
        <w:t>CB</w:t>
      </w:r>
      <w:r w:rsidR="00DD6D07" w:rsidRPr="009A0B66">
        <w:rPr>
          <w:lang w:val="ru-RU"/>
        </w:rPr>
        <w:t>:</w:t>
      </w:r>
      <w:r w:rsidR="00DD6D07" w:rsidRPr="009A0B66">
        <w:rPr>
          <w:lang w:val="ru-RU"/>
        </w:rPr>
        <w:tab/>
      </w:r>
      <w:proofErr w:type="gramEnd"/>
      <w:r w:rsidR="00DD6D07" w:rsidRPr="009A0B66">
        <w:rPr>
          <w:lang w:val="ru-RU"/>
        </w:rPr>
        <w:tab/>
      </w:r>
      <w:r w:rsidR="00943B6A" w:rsidRPr="009A0B66">
        <w:rPr>
          <w:lang w:val="ru-RU"/>
        </w:rPr>
        <w:tab/>
      </w:r>
      <w:proofErr w:type="spellStart"/>
      <w:r w:rsidR="00F13EF3">
        <w:rPr>
          <w:lang w:val="en-US"/>
        </w:rPr>
        <w:t>NEPCon</w:t>
      </w:r>
      <w:proofErr w:type="spellEnd"/>
      <w:r w:rsidR="00F13EF3" w:rsidRPr="009A0B66">
        <w:rPr>
          <w:lang w:val="ru-RU"/>
        </w:rPr>
        <w:t xml:space="preserve"> </w:t>
      </w:r>
      <w:r w:rsidR="00F13EF3">
        <w:rPr>
          <w:lang w:val="en-US"/>
        </w:rPr>
        <w:t>OU</w:t>
      </w:r>
    </w:p>
    <w:p w:rsidR="00DD6D07" w:rsidRPr="0066412A" w:rsidRDefault="009A0B66" w:rsidP="00DD6D07">
      <w:pPr>
        <w:rPr>
          <w:lang w:val="ru-RU"/>
        </w:rPr>
      </w:pPr>
      <w:r w:rsidRPr="009A0B66">
        <w:rPr>
          <w:lang w:val="ru-RU"/>
        </w:rPr>
        <w:t>Переводы</w:t>
      </w:r>
      <w:r w:rsidRPr="0066412A">
        <w:rPr>
          <w:lang w:val="ru-RU"/>
        </w:rPr>
        <w:t xml:space="preserve"> </w:t>
      </w:r>
      <w:r w:rsidRPr="009A0B66">
        <w:rPr>
          <w:lang w:val="ru-RU"/>
        </w:rPr>
        <w:t>с</w:t>
      </w:r>
      <w:r w:rsidRPr="0066412A">
        <w:rPr>
          <w:lang w:val="ru-RU"/>
        </w:rPr>
        <w:t xml:space="preserve"> </w:t>
      </w:r>
      <w:proofErr w:type="gramStart"/>
      <w:r w:rsidRPr="009A0B66">
        <w:rPr>
          <w:lang w:val="ru-RU"/>
        </w:rPr>
        <w:t>английского</w:t>
      </w:r>
      <w:r w:rsidRPr="0066412A">
        <w:rPr>
          <w:lang w:val="ru-RU"/>
        </w:rPr>
        <w:t xml:space="preserve">  </w:t>
      </w:r>
      <w:r w:rsidRPr="009A0B66">
        <w:rPr>
          <w:lang w:val="ru-RU"/>
        </w:rPr>
        <w:t>языка</w:t>
      </w:r>
      <w:proofErr w:type="gramEnd"/>
      <w:r w:rsidR="00F13EF3" w:rsidRPr="0066412A">
        <w:rPr>
          <w:lang w:val="ru-RU"/>
        </w:rPr>
        <w:t>:</w:t>
      </w:r>
      <w:r w:rsidR="00F13EF3" w:rsidRPr="0066412A">
        <w:rPr>
          <w:lang w:val="ru-RU"/>
        </w:rPr>
        <w:tab/>
      </w:r>
      <w:r w:rsidRPr="0066412A">
        <w:rPr>
          <w:lang w:val="ru-RU"/>
        </w:rPr>
        <w:t>Да</w:t>
      </w:r>
    </w:p>
    <w:p w:rsidR="00DD6D07" w:rsidRPr="009A0B66" w:rsidRDefault="009A0B66" w:rsidP="00DD6D07">
      <w:pPr>
        <w:rPr>
          <w:lang w:val="ru-RU"/>
        </w:rPr>
      </w:pPr>
      <w:r>
        <w:rPr>
          <w:lang w:val="ru-RU"/>
        </w:rPr>
        <w:t>Используемые</w:t>
      </w:r>
      <w:r w:rsidRPr="009A0B6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9A0B66">
        <w:rPr>
          <w:lang w:val="ru-RU"/>
        </w:rPr>
        <w:t xml:space="preserve"> </w:t>
      </w:r>
      <w:proofErr w:type="gramStart"/>
      <w:r>
        <w:t>SBP</w:t>
      </w:r>
      <w:r w:rsidRPr="009A0B66">
        <w:rPr>
          <w:lang w:val="ru-RU"/>
        </w:rPr>
        <w:t xml:space="preserve"> </w:t>
      </w:r>
      <w:r w:rsidR="00DD6D07" w:rsidRPr="009A0B66">
        <w:rPr>
          <w:lang w:val="ru-RU"/>
        </w:rPr>
        <w:t>:</w:t>
      </w:r>
      <w:proofErr w:type="gramEnd"/>
      <w:r w:rsidR="00DD6D07" w:rsidRPr="009A0B66">
        <w:rPr>
          <w:lang w:val="ru-RU"/>
        </w:rPr>
        <w:tab/>
      </w:r>
      <w:r w:rsidR="00493940" w:rsidRPr="009A0B66">
        <w:rPr>
          <w:lang w:val="ru-RU"/>
        </w:rPr>
        <w:tab/>
      </w:r>
      <w:r>
        <w:rPr>
          <w:lang w:val="ru-RU"/>
        </w:rPr>
        <w:t>Стандарт</w:t>
      </w:r>
      <w:r w:rsidR="00DD6D07" w:rsidRPr="009A0B66">
        <w:rPr>
          <w:lang w:val="ru-RU"/>
        </w:rPr>
        <w:t xml:space="preserve"> </w:t>
      </w:r>
      <w:r w:rsidRPr="009A0B66">
        <w:rPr>
          <w:lang w:val="ru-RU"/>
        </w:rPr>
        <w:t>2 версия 1.0, Стандарт</w:t>
      </w:r>
      <w:r w:rsidR="00F13EF3" w:rsidRPr="009A0B66">
        <w:rPr>
          <w:lang w:val="ru-RU"/>
        </w:rPr>
        <w:t xml:space="preserve"> 4 </w:t>
      </w:r>
      <w:r w:rsidRPr="009A0B66">
        <w:rPr>
          <w:lang w:val="ru-RU"/>
        </w:rPr>
        <w:t>версия</w:t>
      </w:r>
      <w:r>
        <w:rPr>
          <w:lang w:val="ru-RU"/>
        </w:rPr>
        <w:t xml:space="preserve"> 1.0, Стандарт</w:t>
      </w:r>
      <w:r w:rsidR="00F13EF3" w:rsidRPr="009A0B66">
        <w:rPr>
          <w:lang w:val="ru-RU"/>
        </w:rPr>
        <w:t xml:space="preserve"> 5 </w:t>
      </w:r>
      <w:r w:rsidRPr="009A0B66">
        <w:rPr>
          <w:lang w:val="ru-RU"/>
        </w:rPr>
        <w:t>версия</w:t>
      </w:r>
      <w:r w:rsidR="00F13EF3" w:rsidRPr="009A0B66">
        <w:rPr>
          <w:lang w:val="ru-RU"/>
        </w:rPr>
        <w:t xml:space="preserve"> 1.0</w:t>
      </w:r>
    </w:p>
    <w:p w:rsidR="00DD6D07" w:rsidRPr="009A0B66" w:rsidRDefault="009A0B66" w:rsidP="00DD6D07">
      <w:pPr>
        <w:rPr>
          <w:color w:val="006691"/>
          <w:lang w:val="ru-RU"/>
        </w:rPr>
      </w:pPr>
      <w:r w:rsidRPr="009A0B66">
        <w:rPr>
          <w:lang w:val="ru-RU"/>
        </w:rPr>
        <w:t xml:space="preserve">Веб-ссылка на используемые </w:t>
      </w:r>
      <w:proofErr w:type="gramStart"/>
      <w:r w:rsidRPr="009A0B66">
        <w:rPr>
          <w:lang w:val="ru-RU"/>
        </w:rPr>
        <w:t>стандарты</w:t>
      </w:r>
      <w:r w:rsidR="00DD6D07" w:rsidRPr="009A0B66">
        <w:rPr>
          <w:lang w:val="ru-RU"/>
        </w:rPr>
        <w:t>:</w:t>
      </w:r>
      <w:r w:rsidR="00DD6D07" w:rsidRPr="009A0B66">
        <w:rPr>
          <w:lang w:val="ru-RU"/>
        </w:rPr>
        <w:tab/>
      </w:r>
      <w:proofErr w:type="gramEnd"/>
      <w:r w:rsidR="0008133D">
        <w:rPr>
          <w:rStyle w:val="ad"/>
          <w:color w:val="006691"/>
        </w:rPr>
        <w:fldChar w:fldCharType="begin"/>
      </w:r>
      <w:r w:rsidR="0008133D" w:rsidRPr="0066412A">
        <w:rPr>
          <w:rStyle w:val="ad"/>
          <w:color w:val="006691"/>
          <w:lang w:val="ru-RU"/>
        </w:rPr>
        <w:instrText xml:space="preserve"> </w:instrText>
      </w:r>
      <w:r w:rsidR="0008133D">
        <w:rPr>
          <w:rStyle w:val="ad"/>
          <w:color w:val="006691"/>
        </w:rPr>
        <w:instrText>HYPERLINK</w:instrText>
      </w:r>
      <w:r w:rsidR="0008133D" w:rsidRPr="0066412A">
        <w:rPr>
          <w:rStyle w:val="ad"/>
          <w:color w:val="006691"/>
          <w:lang w:val="ru-RU"/>
        </w:rPr>
        <w:instrText xml:space="preserve"> "</w:instrText>
      </w:r>
      <w:r w:rsidR="0008133D">
        <w:rPr>
          <w:rStyle w:val="ad"/>
          <w:color w:val="006691"/>
        </w:rPr>
        <w:instrText>https</w:instrText>
      </w:r>
      <w:r w:rsidR="0008133D" w:rsidRPr="0066412A">
        <w:rPr>
          <w:rStyle w:val="ad"/>
          <w:color w:val="006691"/>
          <w:lang w:val="ru-RU"/>
        </w:rPr>
        <w:instrText>://</w:instrText>
      </w:r>
      <w:r w:rsidR="0008133D">
        <w:rPr>
          <w:rStyle w:val="ad"/>
          <w:color w:val="006691"/>
        </w:rPr>
        <w:instrText>sbp</w:instrText>
      </w:r>
      <w:r w:rsidR="0008133D" w:rsidRPr="0066412A">
        <w:rPr>
          <w:rStyle w:val="ad"/>
          <w:color w:val="006691"/>
          <w:lang w:val="ru-RU"/>
        </w:rPr>
        <w:instrText>-</w:instrText>
      </w:r>
      <w:r w:rsidR="0008133D">
        <w:rPr>
          <w:rStyle w:val="ad"/>
          <w:color w:val="006691"/>
        </w:rPr>
        <w:instrText>cert</w:instrText>
      </w:r>
      <w:r w:rsidR="0008133D" w:rsidRPr="0066412A">
        <w:rPr>
          <w:rStyle w:val="ad"/>
          <w:color w:val="006691"/>
          <w:lang w:val="ru-RU"/>
        </w:rPr>
        <w:instrText>.</w:instrText>
      </w:r>
      <w:r w:rsidR="0008133D">
        <w:rPr>
          <w:rStyle w:val="ad"/>
          <w:color w:val="006691"/>
        </w:rPr>
        <w:instrText>org</w:instrText>
      </w:r>
      <w:r w:rsidR="0008133D" w:rsidRPr="0066412A">
        <w:rPr>
          <w:rStyle w:val="ad"/>
          <w:color w:val="006691"/>
          <w:lang w:val="ru-RU"/>
        </w:rPr>
        <w:instrText>/</w:instrText>
      </w:r>
      <w:r w:rsidR="0008133D">
        <w:rPr>
          <w:rStyle w:val="ad"/>
          <w:color w:val="006691"/>
        </w:rPr>
        <w:instrText>documents</w:instrText>
      </w:r>
      <w:r w:rsidR="0008133D" w:rsidRPr="0066412A">
        <w:rPr>
          <w:rStyle w:val="ad"/>
          <w:color w:val="006691"/>
          <w:lang w:val="ru-RU"/>
        </w:rPr>
        <w:instrText>/</w:instrText>
      </w:r>
      <w:r w:rsidR="0008133D">
        <w:rPr>
          <w:rStyle w:val="ad"/>
          <w:color w:val="006691"/>
        </w:rPr>
        <w:instrText>standards</w:instrText>
      </w:r>
      <w:r w:rsidR="0008133D" w:rsidRPr="0066412A">
        <w:rPr>
          <w:rStyle w:val="ad"/>
          <w:color w:val="006691"/>
          <w:lang w:val="ru-RU"/>
        </w:rPr>
        <w:instrText>-</w:instrText>
      </w:r>
      <w:r w:rsidR="0008133D">
        <w:rPr>
          <w:rStyle w:val="ad"/>
          <w:color w:val="006691"/>
        </w:rPr>
        <w:instrText>documents</w:instrText>
      </w:r>
      <w:r w:rsidR="0008133D" w:rsidRPr="0066412A">
        <w:rPr>
          <w:rStyle w:val="ad"/>
          <w:color w:val="006691"/>
          <w:lang w:val="ru-RU"/>
        </w:rPr>
        <w:instrText>/</w:instrText>
      </w:r>
      <w:r w:rsidR="0008133D">
        <w:rPr>
          <w:rStyle w:val="ad"/>
          <w:color w:val="006691"/>
        </w:rPr>
        <w:instrText>standards</w:instrText>
      </w:r>
      <w:r w:rsidR="0008133D" w:rsidRPr="0066412A">
        <w:rPr>
          <w:rStyle w:val="ad"/>
          <w:color w:val="006691"/>
          <w:lang w:val="ru-RU"/>
        </w:rPr>
        <w:instrText xml:space="preserve">" </w:instrText>
      </w:r>
      <w:r w:rsidR="0008133D">
        <w:rPr>
          <w:rStyle w:val="ad"/>
          <w:color w:val="006691"/>
        </w:rPr>
        <w:fldChar w:fldCharType="separate"/>
      </w:r>
      <w:r w:rsidR="00493940" w:rsidRPr="00E542DA">
        <w:rPr>
          <w:rStyle w:val="ad"/>
          <w:color w:val="006691"/>
        </w:rPr>
        <w:t>https</w:t>
      </w:r>
      <w:r w:rsidR="00493940" w:rsidRPr="009A0B66">
        <w:rPr>
          <w:rStyle w:val="ad"/>
          <w:color w:val="006691"/>
          <w:lang w:val="ru-RU"/>
        </w:rPr>
        <w:t>://</w:t>
      </w:r>
      <w:proofErr w:type="spellStart"/>
      <w:r w:rsidR="00493940" w:rsidRPr="00E542DA">
        <w:rPr>
          <w:rStyle w:val="ad"/>
          <w:color w:val="006691"/>
        </w:rPr>
        <w:t>sbp</w:t>
      </w:r>
      <w:proofErr w:type="spellEnd"/>
      <w:r w:rsidR="00493940" w:rsidRPr="009A0B66">
        <w:rPr>
          <w:rStyle w:val="ad"/>
          <w:color w:val="006691"/>
          <w:lang w:val="ru-RU"/>
        </w:rPr>
        <w:t>-</w:t>
      </w:r>
      <w:r w:rsidR="00493940" w:rsidRPr="00E542DA">
        <w:rPr>
          <w:rStyle w:val="ad"/>
          <w:color w:val="006691"/>
        </w:rPr>
        <w:t>cert</w:t>
      </w:r>
      <w:r w:rsidR="00493940" w:rsidRPr="009A0B66">
        <w:rPr>
          <w:rStyle w:val="ad"/>
          <w:color w:val="006691"/>
          <w:lang w:val="ru-RU"/>
        </w:rPr>
        <w:t>.</w:t>
      </w:r>
      <w:r w:rsidR="00493940" w:rsidRPr="00E542DA">
        <w:rPr>
          <w:rStyle w:val="ad"/>
          <w:color w:val="006691"/>
        </w:rPr>
        <w:t>org</w:t>
      </w:r>
      <w:r w:rsidR="00493940" w:rsidRPr="009A0B66">
        <w:rPr>
          <w:rStyle w:val="ad"/>
          <w:color w:val="006691"/>
          <w:lang w:val="ru-RU"/>
        </w:rPr>
        <w:t>/</w:t>
      </w:r>
      <w:r w:rsidR="00493940" w:rsidRPr="00E542DA">
        <w:rPr>
          <w:rStyle w:val="ad"/>
          <w:color w:val="006691"/>
        </w:rPr>
        <w:t>documents</w:t>
      </w:r>
      <w:r w:rsidR="00493940" w:rsidRPr="009A0B66">
        <w:rPr>
          <w:rStyle w:val="ad"/>
          <w:color w:val="006691"/>
          <w:lang w:val="ru-RU"/>
        </w:rPr>
        <w:t>/</w:t>
      </w:r>
      <w:r w:rsidR="00493940" w:rsidRPr="00E542DA">
        <w:rPr>
          <w:rStyle w:val="ad"/>
          <w:color w:val="006691"/>
        </w:rPr>
        <w:t>standards</w:t>
      </w:r>
      <w:r w:rsidR="00493940" w:rsidRPr="009A0B66">
        <w:rPr>
          <w:rStyle w:val="ad"/>
          <w:color w:val="006691"/>
          <w:lang w:val="ru-RU"/>
        </w:rPr>
        <w:t>-</w:t>
      </w:r>
      <w:r w:rsidR="00493940" w:rsidRPr="00E542DA">
        <w:rPr>
          <w:rStyle w:val="ad"/>
          <w:color w:val="006691"/>
        </w:rPr>
        <w:t>documents</w:t>
      </w:r>
      <w:r w:rsidR="00493940" w:rsidRPr="009A0B66">
        <w:rPr>
          <w:rStyle w:val="ad"/>
          <w:color w:val="006691"/>
          <w:lang w:val="ru-RU"/>
        </w:rPr>
        <w:t>/</w:t>
      </w:r>
      <w:r w:rsidR="00493940" w:rsidRPr="00E542DA">
        <w:rPr>
          <w:rStyle w:val="ad"/>
          <w:color w:val="006691"/>
        </w:rPr>
        <w:t>standards</w:t>
      </w:r>
      <w:r w:rsidR="0008133D">
        <w:rPr>
          <w:rStyle w:val="ad"/>
          <w:color w:val="006691"/>
        </w:rPr>
        <w:fldChar w:fldCharType="end"/>
      </w:r>
      <w:r w:rsidR="00493940" w:rsidRPr="009A0B66">
        <w:rPr>
          <w:rStyle w:val="ad"/>
          <w:color w:val="006691"/>
          <w:lang w:val="ru-RU"/>
        </w:rPr>
        <w:t xml:space="preserve"> </w:t>
      </w:r>
      <w:r w:rsidR="00DD6D07" w:rsidRPr="009A0B66">
        <w:rPr>
          <w:color w:val="006691"/>
          <w:lang w:val="ru-RU"/>
        </w:rPr>
        <w:t xml:space="preserve"> </w:t>
      </w:r>
    </w:p>
    <w:p w:rsidR="00DD6D07" w:rsidRPr="009A0B66" w:rsidRDefault="009A0B66" w:rsidP="00DD6D07">
      <w:pPr>
        <w:rPr>
          <w:lang w:val="ru-RU"/>
        </w:rPr>
      </w:pPr>
      <w:r>
        <w:rPr>
          <w:lang w:val="ru-RU"/>
        </w:rPr>
        <w:t xml:space="preserve">Региональная Оценка Рисков, одобренная </w:t>
      </w:r>
      <w:r>
        <w:t>SBP</w:t>
      </w:r>
      <w:r w:rsidR="00F13EF3" w:rsidRPr="009A0B66">
        <w:rPr>
          <w:lang w:val="ru-RU"/>
        </w:rPr>
        <w:t xml:space="preserve">: </w:t>
      </w:r>
      <w:r w:rsidR="00F13EF3" w:rsidRPr="009A0B66">
        <w:rPr>
          <w:lang w:val="ru-RU"/>
        </w:rPr>
        <w:tab/>
      </w:r>
      <w:r>
        <w:rPr>
          <w:lang w:val="ru-RU"/>
        </w:rPr>
        <w:t>н</w:t>
      </w:r>
      <w:r w:rsidR="00F13EF3">
        <w:t>e</w:t>
      </w:r>
      <w:r>
        <w:rPr>
          <w:lang w:val="ru-RU"/>
        </w:rPr>
        <w:t xml:space="preserve"> применимо</w:t>
      </w:r>
    </w:p>
    <w:p w:rsidR="00DD6D07" w:rsidRPr="009A0B66" w:rsidRDefault="009A0B66" w:rsidP="00DD6D07">
      <w:pPr>
        <w:rPr>
          <w:lang w:val="ru-RU"/>
        </w:rPr>
      </w:pPr>
      <w:r w:rsidRPr="009A0B66">
        <w:rPr>
          <w:lang w:val="ru-RU"/>
        </w:rPr>
        <w:t>Веб-ссылка на ОРБ на са</w:t>
      </w:r>
      <w:r>
        <w:rPr>
          <w:lang w:val="ru-RU"/>
        </w:rPr>
        <w:t>йте</w:t>
      </w:r>
      <w:r w:rsidR="00DD6D07" w:rsidRPr="009A0B66">
        <w:rPr>
          <w:lang w:val="ru-RU"/>
        </w:rPr>
        <w:t xml:space="preserve">: </w:t>
      </w:r>
      <w:r w:rsidR="00DD6D07" w:rsidRPr="009A0B66">
        <w:rPr>
          <w:lang w:val="ru-RU"/>
        </w:rPr>
        <w:tab/>
      </w:r>
      <w:r w:rsidR="00493940" w:rsidRPr="009A0B66">
        <w:rPr>
          <w:lang w:val="ru-RU"/>
        </w:rPr>
        <w:tab/>
      </w:r>
      <w:r>
        <w:rPr>
          <w:lang w:val="ru-RU"/>
        </w:rPr>
        <w:t>н</w:t>
      </w:r>
      <w:r>
        <w:t>e</w:t>
      </w:r>
      <w:r>
        <w:rPr>
          <w:lang w:val="ru-RU"/>
        </w:rPr>
        <w:t xml:space="preserve"> применимо</w:t>
      </w:r>
    </w:p>
    <w:p w:rsidR="00DD6D07" w:rsidRPr="009A0B66" w:rsidRDefault="00DD6D07" w:rsidP="00DD6D07">
      <w:pPr>
        <w:rPr>
          <w:lang w:val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1"/>
        <w:gridCol w:w="1872"/>
        <w:gridCol w:w="1872"/>
        <w:gridCol w:w="1872"/>
        <w:gridCol w:w="1873"/>
      </w:tblGrid>
      <w:tr w:rsidR="00DD6D07" w:rsidRPr="0066412A" w:rsidTr="00E542DA">
        <w:trPr>
          <w:trHeight w:val="647"/>
        </w:trPr>
        <w:tc>
          <w:tcPr>
            <w:tcW w:w="9350" w:type="dxa"/>
            <w:gridSpan w:val="5"/>
            <w:shd w:val="clear" w:color="auto" w:fill="006691"/>
            <w:vAlign w:val="center"/>
          </w:tcPr>
          <w:p w:rsidR="00DD6D07" w:rsidRPr="009A0B66" w:rsidRDefault="009A0B66" w:rsidP="00F13EF3">
            <w:pPr>
              <w:spacing w:before="120" w:line="240" w:lineRule="auto"/>
              <w:jc w:val="center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Обозначьте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текущую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оценку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в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рамках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цикла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Оценки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Ресурсной</w:t>
            </w:r>
            <w:r w:rsidRPr="00123403">
              <w:rPr>
                <w:b/>
                <w:color w:val="FFFFFF" w:themeColor="background1"/>
                <w:lang w:val="ru-RU"/>
              </w:rPr>
              <w:t xml:space="preserve"> </w:t>
            </w:r>
            <w:r>
              <w:rPr>
                <w:b/>
                <w:color w:val="FFFFFF" w:themeColor="background1"/>
                <w:lang w:val="ru-RU"/>
              </w:rPr>
              <w:t>Базы</w:t>
            </w:r>
          </w:p>
        </w:tc>
      </w:tr>
      <w:tr w:rsidR="00DD6D07" w:rsidRPr="00ED692D" w:rsidTr="00943B6A">
        <w:trPr>
          <w:trHeight w:val="620"/>
        </w:trPr>
        <w:tc>
          <w:tcPr>
            <w:tcW w:w="1861" w:type="dxa"/>
            <w:shd w:val="clear" w:color="auto" w:fill="F2F1F1"/>
            <w:vAlign w:val="center"/>
          </w:tcPr>
          <w:p w:rsidR="009A0B66" w:rsidRPr="00ED692D" w:rsidRDefault="009A0B66" w:rsidP="009A0B66">
            <w:pPr>
              <w:spacing w:before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Основная</w:t>
            </w:r>
            <w:r w:rsidRPr="00ED692D">
              <w:rPr>
                <w:b/>
                <w:lang w:val="en-US"/>
              </w:rPr>
              <w:t xml:space="preserve"> (</w:t>
            </w:r>
            <w:r>
              <w:rPr>
                <w:b/>
                <w:lang w:val="ru-RU"/>
              </w:rPr>
              <w:t>Главная</w:t>
            </w:r>
            <w:r w:rsidRPr="00ED692D">
              <w:rPr>
                <w:b/>
                <w:lang w:val="en-US"/>
              </w:rPr>
              <w:t>)</w:t>
            </w:r>
          </w:p>
          <w:p w:rsidR="00DD6D07" w:rsidRPr="00ED692D" w:rsidRDefault="009A0B66" w:rsidP="009A0B66">
            <w:pPr>
              <w:spacing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Оценка</w:t>
            </w:r>
          </w:p>
        </w:tc>
        <w:tc>
          <w:tcPr>
            <w:tcW w:w="1872" w:type="dxa"/>
            <w:shd w:val="clear" w:color="auto" w:fill="F2F1F1"/>
            <w:vAlign w:val="center"/>
          </w:tcPr>
          <w:p w:rsidR="009A0B66" w:rsidRPr="00FD7AA5" w:rsidRDefault="009A0B66" w:rsidP="009A0B66">
            <w:pPr>
              <w:spacing w:before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Первый</w:t>
            </w:r>
          </w:p>
          <w:p w:rsidR="00DD6D07" w:rsidRPr="00ED692D" w:rsidRDefault="009A0B66" w:rsidP="009A0B66">
            <w:pPr>
              <w:spacing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F2F1F1"/>
            <w:vAlign w:val="center"/>
          </w:tcPr>
          <w:p w:rsidR="00DD6D07" w:rsidRPr="00ED692D" w:rsidRDefault="009A0B66" w:rsidP="00F13EF3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Второй</w:t>
            </w:r>
            <w:r w:rsidRPr="00ED692D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72" w:type="dxa"/>
            <w:shd w:val="clear" w:color="auto" w:fill="F2F1F1"/>
            <w:vAlign w:val="center"/>
          </w:tcPr>
          <w:p w:rsidR="009A0B66" w:rsidRPr="00FD7AA5" w:rsidRDefault="009A0B66" w:rsidP="009A0B66">
            <w:pPr>
              <w:spacing w:before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Третий</w:t>
            </w:r>
          </w:p>
          <w:p w:rsidR="00DD6D07" w:rsidRPr="00ED692D" w:rsidRDefault="009A0B66" w:rsidP="009A0B66">
            <w:pPr>
              <w:spacing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73" w:type="dxa"/>
            <w:shd w:val="clear" w:color="auto" w:fill="F2F1F1"/>
            <w:vAlign w:val="center"/>
          </w:tcPr>
          <w:p w:rsidR="009A0B66" w:rsidRPr="00FD7AA5" w:rsidRDefault="009A0B66" w:rsidP="009A0B66">
            <w:pPr>
              <w:spacing w:before="12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Четвертый</w:t>
            </w:r>
          </w:p>
          <w:p w:rsidR="00DD6D07" w:rsidRPr="00ED692D" w:rsidRDefault="009A0B66" w:rsidP="009A0B66">
            <w:pPr>
              <w:spacing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контроль</w:t>
            </w:r>
          </w:p>
        </w:tc>
      </w:tr>
      <w:tr w:rsidR="00DD6D07" w:rsidRPr="00ED692D" w:rsidTr="00F13EF3">
        <w:trPr>
          <w:trHeight w:val="710"/>
        </w:trPr>
        <w:tc>
          <w:tcPr>
            <w:tcW w:w="1861" w:type="dxa"/>
            <w:vAlign w:val="center"/>
          </w:tcPr>
          <w:p w:rsidR="00DD6D07" w:rsidRPr="005734BC" w:rsidRDefault="00F13EF3" w:rsidP="00F13EF3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X</w:t>
            </w:r>
          </w:p>
        </w:tc>
        <w:tc>
          <w:tcPr>
            <w:tcW w:w="1872" w:type="dxa"/>
            <w:vAlign w:val="center"/>
          </w:tcPr>
          <w:p w:rsidR="00DD6D07" w:rsidRPr="005734BC" w:rsidRDefault="00DD6D07" w:rsidP="00F13EF3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5734BC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DD6D07" w:rsidRPr="005734BC" w:rsidRDefault="00DD6D07" w:rsidP="00F13EF3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5734BC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DD6D07" w:rsidRPr="005734BC" w:rsidRDefault="00DD6D07" w:rsidP="00F13EF3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5734BC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  <w:tc>
          <w:tcPr>
            <w:tcW w:w="1873" w:type="dxa"/>
            <w:vAlign w:val="center"/>
          </w:tcPr>
          <w:p w:rsidR="00DD6D07" w:rsidRPr="005734BC" w:rsidRDefault="00DD6D07" w:rsidP="00F13EF3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 w:rsidRPr="005734BC">
              <w:rPr>
                <w:rFonts w:ascii="Menlo Regular" w:hAnsi="Menlo Regular" w:cs="Menlo Regular"/>
                <w:b/>
                <w:sz w:val="32"/>
                <w:szCs w:val="32"/>
                <w:lang w:val="en-US"/>
              </w:rPr>
              <w:t>☐</w:t>
            </w:r>
          </w:p>
        </w:tc>
      </w:tr>
    </w:tbl>
    <w:p w:rsidR="00DD6D07" w:rsidRDefault="00DD6D07" w:rsidP="00DD6D07"/>
    <w:p w:rsidR="00DD6D07" w:rsidRPr="00E542DA" w:rsidRDefault="009A0B66" w:rsidP="009A0B66">
      <w:pPr>
        <w:pStyle w:val="1"/>
      </w:pPr>
      <w:proofErr w:type="spellStart"/>
      <w:r w:rsidRPr="009A0B66">
        <w:lastRenderedPageBreak/>
        <w:t>Описание</w:t>
      </w:r>
      <w:proofErr w:type="spellEnd"/>
      <w:r w:rsidRPr="009A0B66">
        <w:t xml:space="preserve"> </w:t>
      </w:r>
      <w:proofErr w:type="spellStart"/>
      <w:r w:rsidRPr="009A0B66">
        <w:t>базы</w:t>
      </w:r>
      <w:proofErr w:type="spellEnd"/>
      <w:r w:rsidRPr="009A0B66">
        <w:t xml:space="preserve"> </w:t>
      </w:r>
      <w:proofErr w:type="spellStart"/>
      <w:r w:rsidRPr="009A0B66">
        <w:t>снабжения</w:t>
      </w:r>
      <w:proofErr w:type="spellEnd"/>
    </w:p>
    <w:p w:rsidR="00DD6D07" w:rsidRDefault="009A0B66" w:rsidP="00DD6D07">
      <w:pPr>
        <w:rPr>
          <w:i/>
        </w:rPr>
      </w:pPr>
      <w:proofErr w:type="gramStart"/>
      <w:r w:rsidRPr="009A0B66">
        <w:rPr>
          <w:rFonts w:asciiTheme="majorHAnsi" w:eastAsiaTheme="majorEastAsia" w:hAnsiTheme="majorHAnsi" w:cstheme="majorBidi"/>
          <w:color w:val="006890"/>
          <w:sz w:val="36"/>
          <w:szCs w:val="36"/>
        </w:rPr>
        <w:t>2.1</w:t>
      </w:r>
      <w:proofErr w:type="gramEnd"/>
      <w:r w:rsidRPr="009A0B66">
        <w:rPr>
          <w:rFonts w:asciiTheme="majorHAnsi" w:eastAsiaTheme="majorEastAsia" w:hAnsiTheme="majorHAnsi" w:cstheme="majorBidi"/>
          <w:color w:val="006890"/>
          <w:sz w:val="36"/>
          <w:szCs w:val="36"/>
        </w:rPr>
        <w:t xml:space="preserve"> </w:t>
      </w:r>
      <w:proofErr w:type="spellStart"/>
      <w:r w:rsidRPr="009A0B66">
        <w:rPr>
          <w:rFonts w:asciiTheme="majorHAnsi" w:eastAsiaTheme="majorEastAsia" w:hAnsiTheme="majorHAnsi" w:cstheme="majorBidi"/>
          <w:color w:val="006890"/>
          <w:sz w:val="36"/>
          <w:szCs w:val="36"/>
        </w:rPr>
        <w:t>Общее</w:t>
      </w:r>
      <w:proofErr w:type="spellEnd"/>
      <w:r w:rsidRPr="009A0B66">
        <w:rPr>
          <w:rFonts w:asciiTheme="majorHAnsi" w:eastAsiaTheme="majorEastAsia" w:hAnsiTheme="majorHAnsi" w:cstheme="majorBidi"/>
          <w:color w:val="006890"/>
          <w:sz w:val="36"/>
          <w:szCs w:val="36"/>
        </w:rPr>
        <w:t xml:space="preserve"> </w:t>
      </w:r>
      <w:proofErr w:type="spellStart"/>
      <w:r w:rsidRPr="009A0B66">
        <w:rPr>
          <w:rFonts w:asciiTheme="majorHAnsi" w:eastAsiaTheme="majorEastAsia" w:hAnsiTheme="majorHAnsi" w:cstheme="majorBidi"/>
          <w:color w:val="006890"/>
          <w:sz w:val="36"/>
          <w:szCs w:val="36"/>
        </w:rPr>
        <w:t>описание</w:t>
      </w:r>
      <w:proofErr w:type="spellEnd"/>
    </w:p>
    <w:p w:rsidR="004C3130" w:rsidRPr="009A0B66" w:rsidRDefault="009A0B66" w:rsidP="00DD6D07">
      <w:pPr>
        <w:rPr>
          <w:i/>
          <w:lang w:val="ru-RU"/>
        </w:rPr>
      </w:pPr>
      <w:r w:rsidRPr="009A0B66">
        <w:rPr>
          <w:i/>
          <w:lang w:val="ru-RU"/>
        </w:rPr>
        <w:t>ООО "Фанпром" - производитель фанеры, расположенный в Тоншаево Нижегородской области. ООО "Фанпром" запускает обособленное подразделение по производству пеллет - ООО "</w:t>
      </w:r>
      <w:proofErr w:type="spellStart"/>
      <w:r w:rsidRPr="009A0B66">
        <w:rPr>
          <w:i/>
          <w:lang w:val="ru-RU"/>
        </w:rPr>
        <w:t>Фанпро</w:t>
      </w:r>
      <w:proofErr w:type="spellEnd"/>
      <w:r w:rsidRPr="009A0B66">
        <w:rPr>
          <w:i/>
          <w:lang w:val="ru-RU"/>
        </w:rPr>
        <w:t xml:space="preserve"> ОП </w:t>
      </w:r>
      <w:proofErr w:type="spellStart"/>
      <w:r w:rsidRPr="009A0B66">
        <w:rPr>
          <w:i/>
          <w:lang w:val="ru-RU"/>
        </w:rPr>
        <w:t>Уренское</w:t>
      </w:r>
      <w:proofErr w:type="spellEnd"/>
      <w:r w:rsidRPr="009A0B66">
        <w:rPr>
          <w:i/>
          <w:lang w:val="ru-RU"/>
        </w:rPr>
        <w:t xml:space="preserve">", которое расположено в 95 км от ООО "Фанпром" в городе Урене. В обособленном подразделении планируется производить СБП-совместимую биомассу из сертифицированного </w:t>
      </w:r>
      <w:r w:rsidRPr="009A0B66">
        <w:rPr>
          <w:i/>
        </w:rPr>
        <w:t>FSC</w:t>
      </w:r>
      <w:r w:rsidRPr="009A0B66">
        <w:rPr>
          <w:i/>
          <w:lang w:val="ru-RU"/>
        </w:rPr>
        <w:t xml:space="preserve">® (лицензионный код </w:t>
      </w:r>
      <w:r w:rsidRPr="009A0B66">
        <w:rPr>
          <w:i/>
        </w:rPr>
        <w:t>FSC</w:t>
      </w:r>
      <w:r w:rsidRPr="009A0B66">
        <w:rPr>
          <w:i/>
          <w:lang w:val="ru-RU"/>
        </w:rPr>
        <w:t>-</w:t>
      </w:r>
      <w:r w:rsidRPr="009A0B66">
        <w:rPr>
          <w:i/>
        </w:rPr>
        <w:t>C</w:t>
      </w:r>
      <w:r w:rsidRPr="009A0B66">
        <w:rPr>
          <w:i/>
          <w:lang w:val="ru-RU"/>
        </w:rPr>
        <w:t xml:space="preserve">131144) первичного сырья - низкосортной круглой древесины, а также сертифицированного </w:t>
      </w:r>
      <w:r w:rsidRPr="009A0B66">
        <w:rPr>
          <w:i/>
        </w:rPr>
        <w:t>FSC</w:t>
      </w:r>
      <w:r w:rsidRPr="009A0B66">
        <w:rPr>
          <w:i/>
          <w:lang w:val="ru-RU"/>
        </w:rPr>
        <w:t xml:space="preserve"> вторичного сырья - остатков производства щепы фанеры ООО "Фанпром".</w:t>
      </w:r>
    </w:p>
    <w:p w:rsidR="009A0B66" w:rsidRDefault="009A0B66" w:rsidP="00DD6D07">
      <w:pPr>
        <w:rPr>
          <w:i/>
          <w:lang w:val="ru-RU"/>
        </w:rPr>
      </w:pPr>
      <w:r w:rsidRPr="009A0B66">
        <w:rPr>
          <w:i/>
          <w:lang w:val="ru-RU"/>
        </w:rPr>
        <w:t>Первый отчетный период ООО "</w:t>
      </w:r>
      <w:proofErr w:type="spellStart"/>
      <w:r w:rsidRPr="009A0B66">
        <w:rPr>
          <w:i/>
          <w:lang w:val="ru-RU"/>
        </w:rPr>
        <w:t>Фанпро</w:t>
      </w:r>
      <w:proofErr w:type="spellEnd"/>
      <w:r w:rsidRPr="009A0B66">
        <w:rPr>
          <w:i/>
          <w:lang w:val="ru-RU"/>
        </w:rPr>
        <w:t xml:space="preserve"> ОП </w:t>
      </w:r>
      <w:proofErr w:type="spellStart"/>
      <w:r w:rsidRPr="009A0B66">
        <w:rPr>
          <w:i/>
          <w:lang w:val="ru-RU"/>
        </w:rPr>
        <w:t>Уренское</w:t>
      </w:r>
      <w:proofErr w:type="spellEnd"/>
      <w:r w:rsidRPr="009A0B66">
        <w:rPr>
          <w:i/>
          <w:lang w:val="ru-RU"/>
        </w:rPr>
        <w:t xml:space="preserve">" является теоретическим и основан на проектных данных, так как производство еще не началось. Круглый лес с претензией </w:t>
      </w:r>
      <w:r w:rsidRPr="009A0B66">
        <w:rPr>
          <w:i/>
        </w:rPr>
        <w:t>FSC</w:t>
      </w:r>
      <w:r w:rsidRPr="009A0B66">
        <w:rPr>
          <w:i/>
          <w:lang w:val="ru-RU"/>
        </w:rPr>
        <w:t xml:space="preserve"> 100% будет поставлен ООО "</w:t>
      </w:r>
      <w:proofErr w:type="spellStart"/>
      <w:r w:rsidRPr="009A0B66">
        <w:rPr>
          <w:i/>
          <w:lang w:val="ru-RU"/>
        </w:rPr>
        <w:t>Фанпро</w:t>
      </w:r>
      <w:proofErr w:type="spellEnd"/>
      <w:r w:rsidRPr="009A0B66">
        <w:rPr>
          <w:i/>
          <w:lang w:val="ru-RU"/>
        </w:rPr>
        <w:t xml:space="preserve">" от 5 поставщиков, откуда сортированный низкосортный круглый лес будет поставлен ООО "Фанпром ОП </w:t>
      </w:r>
      <w:proofErr w:type="spellStart"/>
      <w:r w:rsidRPr="009A0B66">
        <w:rPr>
          <w:i/>
          <w:lang w:val="ru-RU"/>
        </w:rPr>
        <w:t>Уренское</w:t>
      </w:r>
      <w:proofErr w:type="spellEnd"/>
      <w:r w:rsidRPr="009A0B66">
        <w:rPr>
          <w:i/>
          <w:lang w:val="ru-RU"/>
        </w:rPr>
        <w:t>". Видовой состав поступающего сырья составляет: Береза Серебристая (</w:t>
      </w:r>
      <w:proofErr w:type="spellStart"/>
      <w:r w:rsidRPr="009A0B66">
        <w:rPr>
          <w:i/>
        </w:rPr>
        <w:t>Betula</w:t>
      </w:r>
      <w:proofErr w:type="spellEnd"/>
      <w:r w:rsidRPr="009A0B66">
        <w:rPr>
          <w:i/>
          <w:lang w:val="ru-RU"/>
        </w:rPr>
        <w:t xml:space="preserve"> </w:t>
      </w:r>
      <w:r w:rsidRPr="009A0B66">
        <w:rPr>
          <w:i/>
        </w:rPr>
        <w:t>pendula</w:t>
      </w:r>
      <w:r w:rsidRPr="009A0B66">
        <w:rPr>
          <w:i/>
          <w:lang w:val="ru-RU"/>
        </w:rPr>
        <w:t>), береза пушистая (</w:t>
      </w:r>
      <w:proofErr w:type="spellStart"/>
      <w:r w:rsidRPr="009A0B66">
        <w:rPr>
          <w:i/>
        </w:rPr>
        <w:t>Betula</w:t>
      </w:r>
      <w:proofErr w:type="spellEnd"/>
      <w:r w:rsidRPr="009A0B66">
        <w:rPr>
          <w:i/>
          <w:lang w:val="ru-RU"/>
        </w:rPr>
        <w:t xml:space="preserve"> </w:t>
      </w:r>
      <w:proofErr w:type="spellStart"/>
      <w:r w:rsidRPr="009A0B66">
        <w:rPr>
          <w:i/>
        </w:rPr>
        <w:t>pubescens</w:t>
      </w:r>
      <w:proofErr w:type="spellEnd"/>
      <w:r w:rsidRPr="009A0B66">
        <w:rPr>
          <w:i/>
          <w:lang w:val="ru-RU"/>
        </w:rPr>
        <w:t>) - 100%.</w:t>
      </w:r>
    </w:p>
    <w:p w:rsidR="004E6C0D" w:rsidRPr="009A0B66" w:rsidRDefault="009A0B66" w:rsidP="00DD6D07">
      <w:pPr>
        <w:rPr>
          <w:i/>
          <w:lang w:val="ru-RU"/>
        </w:rPr>
      </w:pPr>
      <w:r w:rsidRPr="009A0B66">
        <w:rPr>
          <w:i/>
          <w:lang w:val="ru-RU"/>
        </w:rPr>
        <w:t>Базой снабжения ООО "</w:t>
      </w:r>
      <w:proofErr w:type="spellStart"/>
      <w:r w:rsidRPr="009A0B66">
        <w:rPr>
          <w:i/>
          <w:lang w:val="ru-RU"/>
        </w:rPr>
        <w:t>Фанпро</w:t>
      </w:r>
      <w:proofErr w:type="spellEnd"/>
      <w:r w:rsidRPr="009A0B66">
        <w:rPr>
          <w:i/>
          <w:lang w:val="ru-RU"/>
        </w:rPr>
        <w:t xml:space="preserve"> ОП </w:t>
      </w:r>
      <w:proofErr w:type="spellStart"/>
      <w:r w:rsidRPr="009A0B66">
        <w:rPr>
          <w:i/>
          <w:lang w:val="ru-RU"/>
        </w:rPr>
        <w:t>Уренское</w:t>
      </w:r>
      <w:proofErr w:type="spellEnd"/>
      <w:r w:rsidRPr="009A0B66">
        <w:rPr>
          <w:i/>
          <w:lang w:val="ru-RU"/>
        </w:rPr>
        <w:t>" является территория лесного фонда Нижегородской области. ‘Земли лесного фонда " -одна из официальных, кадастровых категорий землепользования в России, связанная с лесным и земельным законодательством</w:t>
      </w:r>
      <w:r w:rsidR="00AA4CB5" w:rsidRPr="009A0B66">
        <w:rPr>
          <w:i/>
          <w:lang w:val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80"/>
        <w:gridCol w:w="981"/>
        <w:gridCol w:w="1300"/>
        <w:gridCol w:w="1175"/>
        <w:gridCol w:w="926"/>
        <w:gridCol w:w="1076"/>
        <w:gridCol w:w="1309"/>
        <w:gridCol w:w="1281"/>
      </w:tblGrid>
      <w:tr w:rsidR="00107D29" w:rsidRPr="001C0686" w:rsidTr="00107D29">
        <w:trPr>
          <w:trHeight w:val="20"/>
        </w:trPr>
        <w:tc>
          <w:tcPr>
            <w:tcW w:w="1273" w:type="dxa"/>
            <w:shd w:val="clear" w:color="auto" w:fill="90D5F0"/>
          </w:tcPr>
          <w:p w:rsidR="002422F1" w:rsidRPr="007B63B2" w:rsidRDefault="00794B0C" w:rsidP="00175E0D">
            <w:pPr>
              <w:spacing w:before="40" w:after="4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ru-RU"/>
              </w:rPr>
              <w:t>Федеральный округ</w:t>
            </w:r>
          </w:p>
        </w:tc>
        <w:tc>
          <w:tcPr>
            <w:tcW w:w="1084" w:type="dxa"/>
            <w:shd w:val="clear" w:color="auto" w:fill="90D5F0"/>
          </w:tcPr>
          <w:p w:rsidR="002422F1" w:rsidRPr="007B63B2" w:rsidRDefault="00794B0C" w:rsidP="00175E0D">
            <w:pPr>
              <w:spacing w:before="40" w:after="4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Об-лаcть</w:t>
            </w:r>
            <w:proofErr w:type="spellEnd"/>
          </w:p>
        </w:tc>
        <w:tc>
          <w:tcPr>
            <w:tcW w:w="1186" w:type="dxa"/>
            <w:shd w:val="clear" w:color="auto" w:fill="90D5F0"/>
          </w:tcPr>
          <w:p w:rsidR="002422F1" w:rsidRPr="007B63B2" w:rsidRDefault="00794B0C" w:rsidP="00175E0D">
            <w:pPr>
              <w:spacing w:before="40" w:after="40"/>
              <w:ind w:left="-57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Российская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категория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биома</w:t>
            </w:r>
            <w:proofErr w:type="spellEnd"/>
          </w:p>
        </w:tc>
        <w:tc>
          <w:tcPr>
            <w:tcW w:w="1226" w:type="dxa"/>
            <w:shd w:val="clear" w:color="auto" w:fill="90D5F0"/>
          </w:tcPr>
          <w:p w:rsidR="002422F1" w:rsidRPr="007B63B2" w:rsidRDefault="00794B0C" w:rsidP="00175E0D">
            <w:pPr>
              <w:spacing w:before="40" w:after="40"/>
              <w:ind w:left="-114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Западная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категория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биома</w:t>
            </w:r>
            <w:proofErr w:type="spellEnd"/>
          </w:p>
        </w:tc>
        <w:tc>
          <w:tcPr>
            <w:tcW w:w="1101" w:type="dxa"/>
            <w:shd w:val="clear" w:color="auto" w:fill="90D5F0"/>
          </w:tcPr>
          <w:p w:rsidR="002422F1" w:rsidRPr="007B63B2" w:rsidRDefault="00794B0C" w:rsidP="00175E0D">
            <w:pPr>
              <w:spacing w:before="40" w:after="40"/>
              <w:jc w:val="center"/>
              <w:rPr>
                <w:b/>
                <w:bCs/>
                <w:i/>
                <w:lang w:val="en-US"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Лесной</w:t>
            </w:r>
            <w:proofErr w:type="spellEnd"/>
            <w:r>
              <w:rPr>
                <w:b/>
                <w:bCs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US"/>
              </w:rPr>
              <w:t>фонд</w:t>
            </w:r>
            <w:proofErr w:type="spellEnd"/>
            <w:r w:rsidRPr="007B63B2">
              <w:rPr>
                <w:b/>
                <w:bCs/>
                <w:i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i/>
                <w:lang w:val="en-US"/>
              </w:rPr>
              <w:t>млн</w:t>
            </w:r>
            <w:proofErr w:type="spellEnd"/>
            <w:r w:rsidRPr="007B63B2">
              <w:rPr>
                <w:b/>
                <w:bCs/>
                <w:i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i/>
                <w:lang w:val="en-US"/>
              </w:rPr>
              <w:t>га</w:t>
            </w:r>
            <w:proofErr w:type="spellEnd"/>
            <w:r w:rsidRPr="007B63B2">
              <w:rPr>
                <w:b/>
                <w:bCs/>
                <w:i/>
                <w:lang w:val="en-US"/>
              </w:rPr>
              <w:t>)</w:t>
            </w:r>
          </w:p>
        </w:tc>
        <w:tc>
          <w:tcPr>
            <w:tcW w:w="1089" w:type="dxa"/>
            <w:shd w:val="clear" w:color="auto" w:fill="90D5F0"/>
          </w:tcPr>
          <w:p w:rsidR="00794B0C" w:rsidRDefault="00794B0C" w:rsidP="00794B0C">
            <w:pPr>
              <w:spacing w:before="40" w:after="40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en-US"/>
              </w:rPr>
              <w:t>FSC</w:t>
            </w:r>
            <w:r w:rsidRPr="00EA4068">
              <w:rPr>
                <w:b/>
                <w:bCs/>
                <w:i/>
                <w:lang w:val="ru-RU"/>
              </w:rPr>
              <w:t xml:space="preserve"> </w:t>
            </w:r>
            <w:proofErr w:type="spellStart"/>
            <w:r w:rsidRPr="000F5B27">
              <w:rPr>
                <w:b/>
                <w:bCs/>
                <w:i/>
                <w:lang w:val="ru-RU"/>
              </w:rPr>
              <w:t>серти</w:t>
            </w:r>
            <w:r>
              <w:rPr>
                <w:b/>
                <w:bCs/>
                <w:i/>
                <w:lang w:val="ru-RU"/>
              </w:rPr>
              <w:t>-</w:t>
            </w:r>
            <w:r w:rsidRPr="000F5B27">
              <w:rPr>
                <w:b/>
                <w:bCs/>
                <w:i/>
                <w:lang w:val="ru-RU"/>
              </w:rPr>
              <w:t>фицир</w:t>
            </w:r>
            <w:r>
              <w:rPr>
                <w:b/>
                <w:bCs/>
                <w:i/>
                <w:lang w:val="ru-RU"/>
              </w:rPr>
              <w:t>-</w:t>
            </w:r>
            <w:r w:rsidRPr="000F5B27">
              <w:rPr>
                <w:b/>
                <w:bCs/>
                <w:i/>
                <w:lang w:val="ru-RU"/>
              </w:rPr>
              <w:t>ованные</w:t>
            </w:r>
            <w:proofErr w:type="spellEnd"/>
            <w:r w:rsidRPr="000F5B27">
              <w:rPr>
                <w:b/>
                <w:bCs/>
                <w:i/>
                <w:lang w:val="ru-RU"/>
              </w:rPr>
              <w:t xml:space="preserve"> леса</w:t>
            </w:r>
            <w:r>
              <w:rPr>
                <w:b/>
                <w:bCs/>
                <w:i/>
                <w:lang w:val="ru-RU"/>
              </w:rPr>
              <w:t xml:space="preserve"> </w:t>
            </w:r>
          </w:p>
          <w:p w:rsidR="002422F1" w:rsidRPr="0066412A" w:rsidRDefault="00794B0C" w:rsidP="00794B0C">
            <w:pPr>
              <w:spacing w:before="40" w:after="40"/>
              <w:jc w:val="center"/>
              <w:rPr>
                <w:b/>
                <w:bCs/>
                <w:i/>
                <w:lang w:val="ru-RU"/>
              </w:rPr>
            </w:pPr>
            <w:r w:rsidRPr="000F5B27">
              <w:rPr>
                <w:b/>
                <w:bCs/>
                <w:i/>
                <w:lang w:val="ru-RU"/>
              </w:rPr>
              <w:t>(млн. га)</w:t>
            </w:r>
          </w:p>
        </w:tc>
        <w:tc>
          <w:tcPr>
            <w:tcW w:w="1306" w:type="dxa"/>
            <w:shd w:val="clear" w:color="auto" w:fill="90D5F0"/>
          </w:tcPr>
          <w:p w:rsidR="00794B0C" w:rsidRDefault="00794B0C" w:rsidP="00794B0C">
            <w:pPr>
              <w:spacing w:before="40" w:after="40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Объем ежегодной расчетной лесосеки</w:t>
            </w:r>
          </w:p>
          <w:p w:rsidR="002422F1" w:rsidRPr="0066412A" w:rsidRDefault="00794B0C" w:rsidP="00794B0C">
            <w:pPr>
              <w:spacing w:before="40" w:after="40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 (млн га)</w:t>
            </w:r>
          </w:p>
        </w:tc>
        <w:tc>
          <w:tcPr>
            <w:tcW w:w="1363" w:type="dxa"/>
            <w:shd w:val="clear" w:color="auto" w:fill="90D5F0"/>
          </w:tcPr>
          <w:p w:rsidR="00794B0C" w:rsidRDefault="00794B0C" w:rsidP="00794B0C">
            <w:pPr>
              <w:spacing w:before="40" w:after="40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 xml:space="preserve">Объем заготовки </w:t>
            </w:r>
            <w:proofErr w:type="gramStart"/>
            <w:r>
              <w:rPr>
                <w:b/>
                <w:bCs/>
                <w:i/>
                <w:lang w:val="ru-RU"/>
              </w:rPr>
              <w:t>древе-</w:t>
            </w:r>
            <w:proofErr w:type="spellStart"/>
            <w:r>
              <w:rPr>
                <w:b/>
                <w:bCs/>
                <w:i/>
                <w:lang w:val="ru-RU"/>
              </w:rPr>
              <w:t>сины</w:t>
            </w:r>
            <w:proofErr w:type="spellEnd"/>
            <w:proofErr w:type="gramEnd"/>
            <w:r>
              <w:rPr>
                <w:b/>
                <w:bCs/>
                <w:i/>
                <w:lang w:val="ru-RU"/>
              </w:rPr>
              <w:t xml:space="preserve"> в 2019 году</w:t>
            </w:r>
          </w:p>
          <w:p w:rsidR="002422F1" w:rsidRDefault="00794B0C" w:rsidP="00794B0C">
            <w:pPr>
              <w:spacing w:before="40" w:after="4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ru-RU"/>
              </w:rPr>
              <w:t xml:space="preserve"> (млн м3)</w:t>
            </w:r>
          </w:p>
        </w:tc>
      </w:tr>
      <w:tr w:rsidR="00725703" w:rsidRPr="00035D07" w:rsidTr="00761319">
        <w:trPr>
          <w:trHeight w:val="20"/>
        </w:trPr>
        <w:tc>
          <w:tcPr>
            <w:tcW w:w="1273" w:type="dxa"/>
            <w:vMerge w:val="restart"/>
            <w:vAlign w:val="center"/>
          </w:tcPr>
          <w:p w:rsidR="00725703" w:rsidRPr="00914ECB" w:rsidRDefault="00794B0C" w:rsidP="00761319">
            <w:pPr>
              <w:spacing w:before="20" w:after="20" w:line="288" w:lineRule="auto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Приволжский федеральный округ</w:t>
            </w:r>
          </w:p>
        </w:tc>
        <w:tc>
          <w:tcPr>
            <w:tcW w:w="1084" w:type="dxa"/>
            <w:vMerge w:val="restart"/>
            <w:vAlign w:val="center"/>
          </w:tcPr>
          <w:p w:rsidR="00725703" w:rsidRPr="000E7EB7" w:rsidRDefault="00794B0C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Нижего-родская</w:t>
            </w:r>
            <w:proofErr w:type="spellEnd"/>
          </w:p>
        </w:tc>
        <w:tc>
          <w:tcPr>
            <w:tcW w:w="1186" w:type="dxa"/>
            <w:vAlign w:val="center"/>
          </w:tcPr>
          <w:p w:rsidR="00725703" w:rsidRDefault="00794B0C" w:rsidP="00761319">
            <w:pPr>
              <w:spacing w:before="20" w:after="20" w:line="288" w:lineRule="auto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Южная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тайга</w:t>
            </w:r>
            <w:proofErr w:type="spellEnd"/>
          </w:p>
        </w:tc>
        <w:tc>
          <w:tcPr>
            <w:tcW w:w="1226" w:type="dxa"/>
            <w:vAlign w:val="center"/>
          </w:tcPr>
          <w:p w:rsidR="00725703" w:rsidRDefault="00794B0C" w:rsidP="00761319">
            <w:pPr>
              <w:spacing w:before="20" w:after="20" w:line="288" w:lineRule="auto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Бореаль-ные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леса</w:t>
            </w:r>
            <w:proofErr w:type="spellEnd"/>
          </w:p>
        </w:tc>
        <w:tc>
          <w:tcPr>
            <w:tcW w:w="1101" w:type="dxa"/>
            <w:vAlign w:val="center"/>
          </w:tcPr>
          <w:p w:rsidR="00725703" w:rsidRPr="00C742B1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1,2</w:t>
            </w:r>
          </w:p>
        </w:tc>
        <w:tc>
          <w:tcPr>
            <w:tcW w:w="1089" w:type="dxa"/>
            <w:vMerge w:val="restart"/>
            <w:vAlign w:val="center"/>
          </w:tcPr>
          <w:p w:rsidR="00725703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0,3</w:t>
            </w:r>
          </w:p>
        </w:tc>
        <w:tc>
          <w:tcPr>
            <w:tcW w:w="1306" w:type="dxa"/>
            <w:vMerge w:val="restart"/>
            <w:vAlign w:val="center"/>
          </w:tcPr>
          <w:p w:rsidR="00725703" w:rsidRDefault="00E24D47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6,5</w:t>
            </w:r>
          </w:p>
        </w:tc>
        <w:tc>
          <w:tcPr>
            <w:tcW w:w="1363" w:type="dxa"/>
            <w:vMerge w:val="restart"/>
            <w:vAlign w:val="center"/>
          </w:tcPr>
          <w:p w:rsidR="00725703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3,7</w:t>
            </w:r>
          </w:p>
        </w:tc>
      </w:tr>
      <w:tr w:rsidR="00725703" w:rsidRPr="00035D07" w:rsidTr="00761319">
        <w:trPr>
          <w:trHeight w:val="20"/>
        </w:trPr>
        <w:tc>
          <w:tcPr>
            <w:tcW w:w="1273" w:type="dxa"/>
            <w:vMerge/>
            <w:vAlign w:val="center"/>
          </w:tcPr>
          <w:p w:rsidR="00725703" w:rsidRDefault="00725703" w:rsidP="00761319">
            <w:pPr>
              <w:spacing w:before="20" w:after="20" w:line="288" w:lineRule="auto"/>
              <w:jc w:val="center"/>
              <w:rPr>
                <w:i/>
                <w:lang w:val="nl-NL"/>
              </w:rPr>
            </w:pPr>
          </w:p>
        </w:tc>
        <w:tc>
          <w:tcPr>
            <w:tcW w:w="1084" w:type="dxa"/>
            <w:vMerge/>
            <w:vAlign w:val="center"/>
          </w:tcPr>
          <w:p w:rsidR="00725703" w:rsidRPr="000E7EB7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25703" w:rsidRPr="00035D07" w:rsidRDefault="00794B0C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proofErr w:type="gramStart"/>
            <w:r w:rsidRPr="00E10D3C">
              <w:rPr>
                <w:i/>
                <w:lang w:val="ru-RU"/>
              </w:rPr>
              <w:t>Смешан</w:t>
            </w:r>
            <w:r>
              <w:rPr>
                <w:i/>
                <w:lang w:val="ru-RU"/>
              </w:rPr>
              <w:t>-</w:t>
            </w:r>
            <w:proofErr w:type="spellStart"/>
            <w:r w:rsidRPr="00E10D3C">
              <w:rPr>
                <w:i/>
                <w:lang w:val="ru-RU"/>
              </w:rPr>
              <w:t>ные</w:t>
            </w:r>
            <w:proofErr w:type="spellEnd"/>
            <w:proofErr w:type="gramEnd"/>
            <w:r w:rsidRPr="00E10D3C">
              <w:rPr>
                <w:i/>
                <w:lang w:val="ru-RU"/>
              </w:rPr>
              <w:t xml:space="preserve"> и </w:t>
            </w:r>
            <w:proofErr w:type="spellStart"/>
            <w:r w:rsidRPr="00E10D3C">
              <w:rPr>
                <w:i/>
                <w:lang w:val="ru-RU"/>
              </w:rPr>
              <w:t>широколис</w:t>
            </w:r>
            <w:r>
              <w:rPr>
                <w:i/>
                <w:lang w:val="ru-RU"/>
              </w:rPr>
              <w:t>-</w:t>
            </w:r>
            <w:r w:rsidRPr="00E10D3C">
              <w:rPr>
                <w:i/>
                <w:lang w:val="ru-RU"/>
              </w:rPr>
              <w:t>т</w:t>
            </w:r>
            <w:r>
              <w:rPr>
                <w:i/>
                <w:lang w:val="ru-RU"/>
              </w:rPr>
              <w:t>вен</w:t>
            </w:r>
            <w:r w:rsidRPr="00E10D3C">
              <w:rPr>
                <w:i/>
                <w:lang w:val="ru-RU"/>
              </w:rPr>
              <w:t>ные</w:t>
            </w:r>
            <w:proofErr w:type="spellEnd"/>
            <w:r w:rsidRPr="00E10D3C">
              <w:rPr>
                <w:i/>
                <w:lang w:val="ru-RU"/>
              </w:rPr>
              <w:t xml:space="preserve"> леса</w:t>
            </w:r>
          </w:p>
        </w:tc>
        <w:tc>
          <w:tcPr>
            <w:tcW w:w="1226" w:type="dxa"/>
            <w:vAlign w:val="center"/>
          </w:tcPr>
          <w:p w:rsidR="00725703" w:rsidRPr="00035D07" w:rsidRDefault="00794B0C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proofErr w:type="spellStart"/>
            <w:r>
              <w:rPr>
                <w:i/>
                <w:lang w:val="en-US"/>
              </w:rPr>
              <w:t>Умерен-ные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леса</w:t>
            </w:r>
            <w:proofErr w:type="spellEnd"/>
          </w:p>
        </w:tc>
        <w:tc>
          <w:tcPr>
            <w:tcW w:w="1101" w:type="dxa"/>
            <w:vAlign w:val="center"/>
          </w:tcPr>
          <w:p w:rsidR="00725703" w:rsidRPr="00C742B1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2,6</w:t>
            </w:r>
          </w:p>
        </w:tc>
        <w:tc>
          <w:tcPr>
            <w:tcW w:w="1089" w:type="dxa"/>
            <w:vMerge/>
            <w:vAlign w:val="center"/>
          </w:tcPr>
          <w:p w:rsidR="00725703" w:rsidRPr="00C742B1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1306" w:type="dxa"/>
            <w:vMerge/>
            <w:vAlign w:val="center"/>
          </w:tcPr>
          <w:p w:rsidR="00725703" w:rsidRPr="00C742B1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</w:p>
        </w:tc>
        <w:tc>
          <w:tcPr>
            <w:tcW w:w="1363" w:type="dxa"/>
            <w:vMerge/>
            <w:vAlign w:val="center"/>
          </w:tcPr>
          <w:p w:rsidR="00725703" w:rsidRPr="00C742B1" w:rsidRDefault="00725703" w:rsidP="00761319">
            <w:pPr>
              <w:spacing w:before="20" w:after="20" w:line="288" w:lineRule="auto"/>
              <w:jc w:val="center"/>
              <w:rPr>
                <w:i/>
                <w:lang w:val="ru-RU"/>
              </w:rPr>
            </w:pPr>
          </w:p>
        </w:tc>
      </w:tr>
      <w:tr w:rsidR="00761319" w:rsidRPr="00035D07" w:rsidTr="00175E0D">
        <w:trPr>
          <w:trHeight w:val="20"/>
        </w:trPr>
        <w:tc>
          <w:tcPr>
            <w:tcW w:w="4769" w:type="dxa"/>
            <w:gridSpan w:val="4"/>
            <w:vAlign w:val="center"/>
          </w:tcPr>
          <w:p w:rsidR="00761319" w:rsidRPr="00035D07" w:rsidRDefault="00794B0C" w:rsidP="00761319">
            <w:pPr>
              <w:spacing w:before="20" w:after="20" w:line="288" w:lineRule="auto"/>
              <w:jc w:val="right"/>
              <w:rPr>
                <w:b/>
                <w:bCs/>
                <w:i/>
                <w:lang w:val="ru-RU"/>
              </w:rPr>
            </w:pPr>
            <w:proofErr w:type="spellStart"/>
            <w:r>
              <w:rPr>
                <w:b/>
                <w:bCs/>
                <w:i/>
                <w:lang w:val="en-US"/>
              </w:rPr>
              <w:t>Всего</w:t>
            </w:r>
            <w:proofErr w:type="spellEnd"/>
          </w:p>
        </w:tc>
        <w:tc>
          <w:tcPr>
            <w:tcW w:w="1101" w:type="dxa"/>
          </w:tcPr>
          <w:p w:rsidR="00761319" w:rsidRPr="00035D07" w:rsidRDefault="00761319" w:rsidP="00761319">
            <w:pPr>
              <w:spacing w:before="20" w:after="20" w:line="288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3</w:t>
            </w:r>
            <w:r w:rsidRPr="00035D07">
              <w:rPr>
                <w:b/>
                <w:bCs/>
                <w:i/>
                <w:lang w:val="ru-RU"/>
              </w:rPr>
              <w:t>,</w:t>
            </w:r>
            <w:r>
              <w:rPr>
                <w:b/>
                <w:bCs/>
                <w:i/>
                <w:lang w:val="ru-RU"/>
              </w:rPr>
              <w:t>8</w:t>
            </w:r>
          </w:p>
        </w:tc>
        <w:tc>
          <w:tcPr>
            <w:tcW w:w="1089" w:type="dxa"/>
          </w:tcPr>
          <w:p w:rsidR="00761319" w:rsidRPr="00035D07" w:rsidRDefault="00761319" w:rsidP="00761319">
            <w:pPr>
              <w:spacing w:before="20" w:after="20" w:line="288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0,3</w:t>
            </w:r>
          </w:p>
        </w:tc>
        <w:tc>
          <w:tcPr>
            <w:tcW w:w="1306" w:type="dxa"/>
          </w:tcPr>
          <w:p w:rsidR="00761319" w:rsidRDefault="00761319" w:rsidP="00761319">
            <w:pPr>
              <w:spacing w:before="20" w:after="20" w:line="288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6,5</w:t>
            </w:r>
          </w:p>
        </w:tc>
        <w:tc>
          <w:tcPr>
            <w:tcW w:w="1363" w:type="dxa"/>
          </w:tcPr>
          <w:p w:rsidR="00761319" w:rsidRDefault="00761319" w:rsidP="00761319">
            <w:pPr>
              <w:spacing w:before="20" w:after="20" w:line="288" w:lineRule="auto"/>
              <w:jc w:val="center"/>
              <w:rPr>
                <w:b/>
                <w:bCs/>
                <w:i/>
                <w:lang w:val="ru-RU"/>
              </w:rPr>
            </w:pPr>
            <w:r>
              <w:rPr>
                <w:b/>
                <w:bCs/>
                <w:i/>
                <w:lang w:val="ru-RU"/>
              </w:rPr>
              <w:t>3,7</w:t>
            </w:r>
          </w:p>
        </w:tc>
      </w:tr>
    </w:tbl>
    <w:p w:rsidR="006F4693" w:rsidRDefault="006F4693" w:rsidP="00DD6D07">
      <w:pPr>
        <w:rPr>
          <w:i/>
          <w:lang w:val="en-US"/>
        </w:rPr>
      </w:pPr>
    </w:p>
    <w:p w:rsidR="00952E2F" w:rsidRPr="00794B0C" w:rsidRDefault="00794B0C" w:rsidP="00952E2F">
      <w:pPr>
        <w:rPr>
          <w:i/>
          <w:lang w:val="ru-RU"/>
        </w:rPr>
      </w:pPr>
      <w:r w:rsidRPr="00794B0C">
        <w:rPr>
          <w:i/>
          <w:lang w:val="ru-RU"/>
        </w:rPr>
        <w:t>В соответствии с законодательством Российской Федерации лесные участки находятся в федеральной собственности. Поставщики управляют лесными землями на основе долгосрочных договоров аренды от 10 до 49 лет с возможностью их пролонгации. Долгосрочные арендные отношения являются доминирующей правовой формой получения права на заготовку стоячего скота. Заключение договоров аренды лесных участков или договоров купли-продажи лесных насаждений осуществляется на аукционах по продаже права заключения таких договоров. Земельный участок, сданный в аренду, должен пройти государственный кадастровый учет</w:t>
      </w:r>
      <w:r w:rsidR="00952E2F" w:rsidRPr="00794B0C">
        <w:rPr>
          <w:i/>
          <w:lang w:val="ru-RU"/>
        </w:rPr>
        <w:t xml:space="preserve">. </w:t>
      </w:r>
    </w:p>
    <w:p w:rsidR="00952E2F" w:rsidRPr="00794B0C" w:rsidRDefault="00794B0C" w:rsidP="00952E2F">
      <w:pPr>
        <w:rPr>
          <w:i/>
          <w:lang w:val="ru-RU"/>
        </w:rPr>
      </w:pPr>
      <w:r w:rsidRPr="00794B0C">
        <w:rPr>
          <w:i/>
          <w:lang w:val="ru-RU"/>
        </w:rPr>
        <w:lastRenderedPageBreak/>
        <w:t xml:space="preserve">Лесной кодекс Российской Федерации обязывает каждого арендатора разработать проект освоения лесов на 10 лет (исходя из налогообложения и лесопользования), осуществлять мероприятия по сохранению, защите и воспроизводству лесов, а также ежегодно представлять лесную декларацию, содержащую отчет о проведенных мероприятиях и объемах </w:t>
      </w:r>
      <w:proofErr w:type="gramStart"/>
      <w:r w:rsidRPr="00794B0C">
        <w:rPr>
          <w:i/>
          <w:lang w:val="ru-RU"/>
        </w:rPr>
        <w:t>лесозаготовок.</w:t>
      </w:r>
      <w:r w:rsidR="00952E2F" w:rsidRPr="00794B0C">
        <w:rPr>
          <w:i/>
          <w:lang w:val="ru-RU"/>
        </w:rPr>
        <w:t>.</w:t>
      </w:r>
      <w:proofErr w:type="gramEnd"/>
    </w:p>
    <w:p w:rsidR="00A14E9B" w:rsidRPr="00794B0C" w:rsidRDefault="00794B0C" w:rsidP="00A14E9B">
      <w:pPr>
        <w:rPr>
          <w:i/>
          <w:lang w:val="ru-RU"/>
        </w:rPr>
      </w:pPr>
      <w:r w:rsidRPr="00794B0C">
        <w:rPr>
          <w:i/>
          <w:lang w:val="ru-RU"/>
        </w:rPr>
        <w:t xml:space="preserve">Обеспечение качественного воспроизводства лесных ресурсов и защитного лесоразведения является необходимым условием лесопользования. Все лесовосстановительные работы на арендованных лесных участках планируются и осуществляются </w:t>
      </w:r>
      <w:proofErr w:type="spellStart"/>
      <w:r w:rsidRPr="00794B0C">
        <w:rPr>
          <w:i/>
          <w:lang w:val="ru-RU"/>
        </w:rPr>
        <w:t>лесопользователями</w:t>
      </w:r>
      <w:proofErr w:type="spellEnd"/>
      <w:r w:rsidRPr="00794B0C">
        <w:rPr>
          <w:i/>
          <w:lang w:val="ru-RU"/>
        </w:rPr>
        <w:t xml:space="preserve"> за свой счет в соответствии с проектами лесоустройства</w:t>
      </w:r>
      <w:r w:rsidR="00952E2F" w:rsidRPr="00794B0C">
        <w:rPr>
          <w:i/>
          <w:lang w:val="ru-RU"/>
        </w:rPr>
        <w:t>.</w:t>
      </w:r>
    </w:p>
    <w:p w:rsidR="00993363" w:rsidRPr="00794B0C" w:rsidRDefault="00794B0C" w:rsidP="00A14E9B">
      <w:pPr>
        <w:rPr>
          <w:i/>
          <w:lang w:val="ru-RU"/>
        </w:rPr>
      </w:pPr>
      <w:r w:rsidRPr="00794B0C">
        <w:rPr>
          <w:i/>
          <w:lang w:val="ru-RU"/>
        </w:rPr>
        <w:t>Нижегородская область имеет в своей структуре большую часть земель лесного фонда, то есть чуть меньше 50%. Доля зрелых и перезрелых древостоев составляет около 25% от запаса древесины в базе снабжения. В рамках Базы снабжения годовой допустимый урез не полностью разработан. Неразвитая инфраструктура не позволяет в полной мере использовать имеющиеся запасы древесины</w:t>
      </w:r>
      <w:r w:rsidR="00A14E9B" w:rsidRPr="00794B0C">
        <w:rPr>
          <w:i/>
          <w:lang w:val="ru-RU"/>
        </w:rPr>
        <w:t>.</w:t>
      </w:r>
      <w:r w:rsidR="00993363" w:rsidRPr="00794B0C">
        <w:rPr>
          <w:i/>
          <w:lang w:val="ru-RU"/>
        </w:rPr>
        <w:t xml:space="preserve"> </w:t>
      </w:r>
    </w:p>
    <w:p w:rsidR="00DD66DA" w:rsidRPr="00794B0C" w:rsidRDefault="00794B0C" w:rsidP="00DD66DA">
      <w:pPr>
        <w:rPr>
          <w:i/>
          <w:lang w:val="ru-RU"/>
        </w:rPr>
      </w:pPr>
      <w:r w:rsidRPr="00794B0C">
        <w:rPr>
          <w:i/>
          <w:lang w:val="ru-RU"/>
        </w:rPr>
        <w:t>Прилегающие земли базы снабжения в основном представлены лесными массивами других арендаторов и сельскохозяйственными угодьями. В основном на этих территориях ведется лесозаготовительная деятельность и сельское хозяйство соответственно. В защитных лесах, расположенных вдоль озер, болот и других экологически чувствительных объектов, применяется более строгий режим хозяйствования</w:t>
      </w:r>
      <w:r w:rsidR="00DD66DA" w:rsidRPr="00794B0C">
        <w:rPr>
          <w:i/>
          <w:lang w:val="ru-RU"/>
        </w:rPr>
        <w:t>.</w:t>
      </w:r>
    </w:p>
    <w:p w:rsidR="00E45D2B" w:rsidRPr="00794B0C" w:rsidRDefault="00794B0C" w:rsidP="00E45D2B">
      <w:pPr>
        <w:rPr>
          <w:i/>
          <w:lang w:val="ru-RU"/>
        </w:rPr>
      </w:pPr>
      <w:r w:rsidRPr="00794B0C">
        <w:rPr>
          <w:i/>
          <w:lang w:val="ru-RU"/>
        </w:rPr>
        <w:t xml:space="preserve">В рамках базы снабжения практика лесопользования основана на достижении возобновляемого устойчивого лесопользования в соответствии с требованиями лесного законодательства и принципами лесной сертификации. Период ротации составляет 60-120 лет. Сбор урожая осуществляется путем рубки леса на стадии зрелости с последующим </w:t>
      </w:r>
      <w:proofErr w:type="spellStart"/>
      <w:r w:rsidRPr="00794B0C">
        <w:rPr>
          <w:i/>
          <w:lang w:val="ru-RU"/>
        </w:rPr>
        <w:t>лесовосстановлением</w:t>
      </w:r>
      <w:proofErr w:type="spellEnd"/>
      <w:r w:rsidRPr="00794B0C">
        <w:rPr>
          <w:i/>
          <w:lang w:val="ru-RU"/>
        </w:rPr>
        <w:t xml:space="preserve">. Также возможно проведение санитарных рубок. Максимальная площадь сплошных рубок ограничена 50 га. </w:t>
      </w:r>
      <w:proofErr w:type="spellStart"/>
      <w:r w:rsidRPr="00794B0C">
        <w:rPr>
          <w:i/>
          <w:lang w:val="ru-RU"/>
        </w:rPr>
        <w:t>Лесовосстановление</w:t>
      </w:r>
      <w:proofErr w:type="spellEnd"/>
      <w:r w:rsidRPr="00794B0C">
        <w:rPr>
          <w:i/>
          <w:lang w:val="ru-RU"/>
        </w:rPr>
        <w:t xml:space="preserve"> можно проводить с посадкой саженцев (около 55%), стимулированием естественного возобновления (38%) или комбинированного возобновления (7%). Обеспечение качественного воспроизводства лесных ресурсов и защитного лесоразведения является необходимым условием использования лесов. Для этого разрабатывается Проект освоения лесов, мероприятия в рамках которого направлены на улучшение лесохозяйственных характеристик лесного массива, а также осуществление непрерывного и устойчивого лесопользования</w:t>
      </w:r>
      <w:r w:rsidR="008D7DB0" w:rsidRPr="00794B0C">
        <w:rPr>
          <w:i/>
          <w:lang w:val="ru-RU"/>
        </w:rPr>
        <w:t>.</w:t>
      </w:r>
    </w:p>
    <w:p w:rsidR="00DD66DA" w:rsidRPr="00794B0C" w:rsidRDefault="00794B0C" w:rsidP="00DD66DA">
      <w:pPr>
        <w:rPr>
          <w:i/>
          <w:lang w:val="ru-RU"/>
        </w:rPr>
      </w:pPr>
      <w:r w:rsidRPr="00794B0C">
        <w:rPr>
          <w:i/>
          <w:lang w:val="ru-RU"/>
        </w:rPr>
        <w:t>Леса в базе снабжения представлены как хвойными, так и лиственными древостоями. Наиболее распространенными породами древесины в базе снабжения являются сосна обыкновенная (</w:t>
      </w:r>
      <w:proofErr w:type="spellStart"/>
      <w:r w:rsidRPr="00794B0C">
        <w:rPr>
          <w:i/>
        </w:rPr>
        <w:t>Pinus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sylvestris</w:t>
      </w:r>
      <w:proofErr w:type="spellEnd"/>
      <w:r w:rsidRPr="00794B0C">
        <w:rPr>
          <w:i/>
          <w:lang w:val="ru-RU"/>
        </w:rPr>
        <w:t>) и ель норвежская (</w:t>
      </w:r>
      <w:proofErr w:type="spellStart"/>
      <w:r w:rsidRPr="00794B0C">
        <w:rPr>
          <w:i/>
        </w:rPr>
        <w:t>Picea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abies</w:t>
      </w:r>
      <w:proofErr w:type="spellEnd"/>
      <w:r w:rsidRPr="00794B0C">
        <w:rPr>
          <w:i/>
          <w:lang w:val="ru-RU"/>
        </w:rPr>
        <w:t>), береза Серебристая (</w:t>
      </w:r>
      <w:proofErr w:type="spellStart"/>
      <w:r w:rsidRPr="00794B0C">
        <w:rPr>
          <w:i/>
        </w:rPr>
        <w:t>Betula</w:t>
      </w:r>
      <w:proofErr w:type="spellEnd"/>
      <w:r w:rsidRPr="00794B0C">
        <w:rPr>
          <w:i/>
          <w:lang w:val="ru-RU"/>
        </w:rPr>
        <w:t xml:space="preserve"> </w:t>
      </w:r>
      <w:r w:rsidRPr="00794B0C">
        <w:rPr>
          <w:i/>
        </w:rPr>
        <w:t>pendula</w:t>
      </w:r>
      <w:r w:rsidRPr="00794B0C">
        <w:rPr>
          <w:i/>
          <w:lang w:val="ru-RU"/>
        </w:rPr>
        <w:t>), береза пушистая (</w:t>
      </w:r>
      <w:proofErr w:type="spellStart"/>
      <w:r w:rsidRPr="00794B0C">
        <w:rPr>
          <w:i/>
        </w:rPr>
        <w:t>Betula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pubescens</w:t>
      </w:r>
      <w:proofErr w:type="spellEnd"/>
      <w:r w:rsidRPr="00794B0C">
        <w:rPr>
          <w:i/>
          <w:lang w:val="ru-RU"/>
        </w:rPr>
        <w:t>), осина (</w:t>
      </w:r>
      <w:proofErr w:type="spellStart"/>
      <w:r w:rsidRPr="00794B0C">
        <w:rPr>
          <w:i/>
        </w:rPr>
        <w:t>Populus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tremula</w:t>
      </w:r>
      <w:proofErr w:type="spellEnd"/>
      <w:r w:rsidRPr="00794B0C">
        <w:rPr>
          <w:i/>
          <w:lang w:val="ru-RU"/>
        </w:rPr>
        <w:t>) и ольха серая (</w:t>
      </w:r>
      <w:proofErr w:type="spellStart"/>
      <w:r w:rsidRPr="00794B0C">
        <w:rPr>
          <w:i/>
        </w:rPr>
        <w:t>Alnus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incana</w:t>
      </w:r>
      <w:proofErr w:type="spellEnd"/>
      <w:r w:rsidRPr="00794B0C">
        <w:rPr>
          <w:i/>
          <w:lang w:val="ru-RU"/>
        </w:rPr>
        <w:t>)</w:t>
      </w:r>
      <w:r w:rsidR="00DD66DA" w:rsidRPr="00794B0C">
        <w:rPr>
          <w:i/>
          <w:lang w:val="ru-RU"/>
        </w:rPr>
        <w:t>.</w:t>
      </w:r>
    </w:p>
    <w:p w:rsidR="00DD66DA" w:rsidRPr="00794B0C" w:rsidRDefault="00794B0C" w:rsidP="00DD66DA">
      <w:pPr>
        <w:rPr>
          <w:i/>
          <w:lang w:val="ru-RU"/>
        </w:rPr>
      </w:pPr>
      <w:r w:rsidRPr="00794B0C">
        <w:rPr>
          <w:i/>
          <w:lang w:val="ru-RU"/>
        </w:rPr>
        <w:t>Федеральная служба по надзору в сфере природопользования (</w:t>
      </w:r>
      <w:proofErr w:type="spellStart"/>
      <w:r w:rsidRPr="00794B0C">
        <w:rPr>
          <w:i/>
          <w:lang w:val="ru-RU"/>
        </w:rPr>
        <w:t>Росприроднадзор</w:t>
      </w:r>
      <w:proofErr w:type="spellEnd"/>
      <w:r w:rsidRPr="00794B0C">
        <w:rPr>
          <w:i/>
          <w:lang w:val="ru-RU"/>
        </w:rPr>
        <w:t>) утвердила перечень видов животных и растений, подпадающих под действие Конвенции о международной торговле видами дикой фауны и флоры, находящимися под угрозой исчезновения (СИТЕС). Список СИТЕС вступил в силу с 12 июня 2013 года. В России существует четыре вида древесины, занесенных в список СИТЕС: японский тис (</w:t>
      </w:r>
      <w:proofErr w:type="spellStart"/>
      <w:r w:rsidRPr="00794B0C">
        <w:rPr>
          <w:i/>
        </w:rPr>
        <w:t>Taxus</w:t>
      </w:r>
      <w:proofErr w:type="spellEnd"/>
      <w:r w:rsidRPr="00794B0C">
        <w:rPr>
          <w:i/>
          <w:lang w:val="ru-RU"/>
        </w:rPr>
        <w:t xml:space="preserve"> </w:t>
      </w:r>
      <w:r w:rsidRPr="00794B0C">
        <w:rPr>
          <w:i/>
        </w:rPr>
        <w:t>cuspidate</w:t>
      </w:r>
      <w:r w:rsidRPr="00794B0C">
        <w:rPr>
          <w:i/>
          <w:lang w:val="ru-RU"/>
        </w:rPr>
        <w:t>), маньчжурский ясень (</w:t>
      </w:r>
      <w:proofErr w:type="spellStart"/>
      <w:r w:rsidRPr="00794B0C">
        <w:rPr>
          <w:i/>
        </w:rPr>
        <w:t>Fraxinus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mandshurica</w:t>
      </w:r>
      <w:proofErr w:type="spellEnd"/>
      <w:r w:rsidRPr="00794B0C">
        <w:rPr>
          <w:i/>
          <w:lang w:val="ru-RU"/>
        </w:rPr>
        <w:t>), корейская сосна (</w:t>
      </w:r>
      <w:proofErr w:type="spellStart"/>
      <w:r w:rsidRPr="00794B0C">
        <w:rPr>
          <w:i/>
        </w:rPr>
        <w:t>Pinus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koraiensis</w:t>
      </w:r>
      <w:proofErr w:type="spellEnd"/>
      <w:r w:rsidRPr="00794B0C">
        <w:rPr>
          <w:i/>
          <w:lang w:val="ru-RU"/>
        </w:rPr>
        <w:t>) и монгольский дуб (</w:t>
      </w:r>
      <w:proofErr w:type="spellStart"/>
      <w:r w:rsidRPr="00794B0C">
        <w:rPr>
          <w:i/>
        </w:rPr>
        <w:t>Quercus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mongolica</w:t>
      </w:r>
      <w:proofErr w:type="spellEnd"/>
      <w:r w:rsidRPr="00794B0C">
        <w:rPr>
          <w:i/>
          <w:lang w:val="ru-RU"/>
        </w:rPr>
        <w:t xml:space="preserve">). Эти породы деревьев, однако, встречаются только в азиатской части России и не встречаются в базе снабжения ООО "Фанпром ОП </w:t>
      </w:r>
      <w:proofErr w:type="spellStart"/>
      <w:r w:rsidRPr="00794B0C">
        <w:rPr>
          <w:i/>
          <w:lang w:val="ru-RU"/>
        </w:rPr>
        <w:t>Уренское</w:t>
      </w:r>
      <w:proofErr w:type="spellEnd"/>
      <w:proofErr w:type="gramStart"/>
      <w:r w:rsidRPr="00794B0C">
        <w:rPr>
          <w:i/>
          <w:lang w:val="ru-RU"/>
        </w:rPr>
        <w:t>".</w:t>
      </w:r>
      <w:r w:rsidR="00DD66DA" w:rsidRPr="00794B0C">
        <w:rPr>
          <w:i/>
          <w:lang w:val="ru-RU"/>
        </w:rPr>
        <w:t>.</w:t>
      </w:r>
      <w:proofErr w:type="gramEnd"/>
    </w:p>
    <w:p w:rsidR="00DD66DA" w:rsidRPr="00794B0C" w:rsidRDefault="00794B0C" w:rsidP="00DD66DA">
      <w:pPr>
        <w:rPr>
          <w:i/>
          <w:lang w:val="ru-RU"/>
        </w:rPr>
      </w:pPr>
      <w:r w:rsidRPr="00794B0C">
        <w:rPr>
          <w:i/>
          <w:lang w:val="ru-RU"/>
        </w:rPr>
        <w:lastRenderedPageBreak/>
        <w:t xml:space="preserve">Помимо охраняемой флоры и фауны ГОРОДОВ, существуют национальные Красные книги с охраняемыми животными и растениями. Некоторые из этих видов присутствуют в базе снабжения. Что касается </w:t>
      </w:r>
      <w:proofErr w:type="spellStart"/>
      <w:r w:rsidRPr="00794B0C">
        <w:rPr>
          <w:i/>
          <w:lang w:val="ru-RU"/>
        </w:rPr>
        <w:t>краснокнижных</w:t>
      </w:r>
      <w:proofErr w:type="spellEnd"/>
      <w:r w:rsidRPr="00794B0C">
        <w:rPr>
          <w:i/>
          <w:lang w:val="ru-RU"/>
        </w:rPr>
        <w:t xml:space="preserve"> пород деревьев, то база снабжения включает, например, лиственницу сибирскую (</w:t>
      </w:r>
      <w:proofErr w:type="spellStart"/>
      <w:r w:rsidRPr="00794B0C">
        <w:rPr>
          <w:i/>
        </w:rPr>
        <w:t>Larix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sibirica</w:t>
      </w:r>
      <w:proofErr w:type="spellEnd"/>
      <w:r w:rsidRPr="00794B0C">
        <w:rPr>
          <w:i/>
          <w:lang w:val="ru-RU"/>
        </w:rPr>
        <w:t>) и березу приземистую (</w:t>
      </w:r>
      <w:proofErr w:type="spellStart"/>
      <w:r w:rsidRPr="00794B0C">
        <w:rPr>
          <w:i/>
        </w:rPr>
        <w:t>Betula</w:t>
      </w:r>
      <w:proofErr w:type="spellEnd"/>
      <w:r w:rsidRPr="00794B0C">
        <w:rPr>
          <w:i/>
          <w:lang w:val="ru-RU"/>
        </w:rPr>
        <w:t xml:space="preserve"> </w:t>
      </w:r>
      <w:proofErr w:type="spellStart"/>
      <w:r w:rsidRPr="00794B0C">
        <w:rPr>
          <w:i/>
        </w:rPr>
        <w:t>humilis</w:t>
      </w:r>
      <w:proofErr w:type="spellEnd"/>
      <w:r w:rsidRPr="00794B0C">
        <w:rPr>
          <w:i/>
          <w:lang w:val="ru-RU"/>
        </w:rPr>
        <w:t>)</w:t>
      </w:r>
      <w:r w:rsidR="00F543A0" w:rsidRPr="00794B0C">
        <w:rPr>
          <w:i/>
          <w:lang w:val="ru-RU"/>
        </w:rPr>
        <w:t>.</w:t>
      </w:r>
    </w:p>
    <w:p w:rsidR="00D667F1" w:rsidRPr="00794B0C" w:rsidRDefault="00794B0C" w:rsidP="00A62888">
      <w:pPr>
        <w:rPr>
          <w:i/>
          <w:lang w:val="ru-RU"/>
        </w:rPr>
      </w:pPr>
      <w:r w:rsidRPr="00794B0C">
        <w:rPr>
          <w:i/>
          <w:lang w:val="ru-RU"/>
        </w:rPr>
        <w:t xml:space="preserve">В регионах базы снабжения глубокая переработка древесины преобладает над экспортом круглого леса. Ведущими направлениями переработки являются производство пиломатериалов, </w:t>
      </w:r>
      <w:proofErr w:type="spellStart"/>
      <w:proofErr w:type="gramStart"/>
      <w:r w:rsidRPr="00794B0C">
        <w:rPr>
          <w:i/>
          <w:lang w:val="ru-RU"/>
        </w:rPr>
        <w:t>фанеры,деревянного</w:t>
      </w:r>
      <w:proofErr w:type="spellEnd"/>
      <w:proofErr w:type="gramEnd"/>
      <w:r w:rsidRPr="00794B0C">
        <w:rPr>
          <w:i/>
          <w:lang w:val="ru-RU"/>
        </w:rPr>
        <w:t xml:space="preserve"> домостроения</w:t>
      </w:r>
      <w:r w:rsidR="00D667F1" w:rsidRPr="00794B0C">
        <w:rPr>
          <w:i/>
          <w:lang w:val="ru-RU"/>
        </w:rPr>
        <w:t xml:space="preserve">. </w:t>
      </w:r>
    </w:p>
    <w:p w:rsidR="00A62888" w:rsidRPr="00794B0C" w:rsidRDefault="00794B0C" w:rsidP="00A62888">
      <w:pPr>
        <w:rPr>
          <w:i/>
          <w:lang w:val="ru-RU"/>
        </w:rPr>
      </w:pPr>
      <w:r w:rsidRPr="00794B0C">
        <w:rPr>
          <w:i/>
          <w:lang w:val="ru-RU"/>
        </w:rPr>
        <w:t>Лесной комплекс Российской Федерации, включающий лесное хозяйство и лесопромышленные предприятия по заготовке и переработке древесины, занимает важное место в экономике страны. Развитие социальной сферы (здравоохранения, образования, культуры) во многом зависит от успехов лесного хозяйства. Во многих случаях наличие деревообрабатывающего предприятия имеет решающее значение для существования населенных пунктов</w:t>
      </w:r>
      <w:r w:rsidR="00A62888" w:rsidRPr="00794B0C">
        <w:rPr>
          <w:i/>
          <w:lang w:val="ru-RU"/>
        </w:rPr>
        <w:t>.</w:t>
      </w:r>
    </w:p>
    <w:p w:rsidR="00A62888" w:rsidRPr="00794B0C" w:rsidRDefault="00794B0C" w:rsidP="00A62888">
      <w:pPr>
        <w:rPr>
          <w:i/>
          <w:lang w:val="ru-RU"/>
        </w:rPr>
      </w:pPr>
      <w:r w:rsidRPr="00794B0C">
        <w:rPr>
          <w:i/>
          <w:lang w:val="ru-RU"/>
        </w:rPr>
        <w:t>ООО "Фанпром" участвует в общественной жизни района, сотрудничая с благотворительным фондом “</w:t>
      </w:r>
      <w:proofErr w:type="spellStart"/>
      <w:r w:rsidRPr="00794B0C">
        <w:rPr>
          <w:i/>
          <w:lang w:val="ru-RU"/>
        </w:rPr>
        <w:t>Рось</w:t>
      </w:r>
      <w:proofErr w:type="spellEnd"/>
      <w:r w:rsidRPr="00794B0C">
        <w:rPr>
          <w:i/>
          <w:lang w:val="ru-RU"/>
        </w:rPr>
        <w:t>". Она оказывает поддержку ветеранам и вдовам ветеранов Великой Отечественной войны, школам, детским садам, объектам культуры</w:t>
      </w:r>
      <w:r w:rsidR="00A62888" w:rsidRPr="00794B0C">
        <w:rPr>
          <w:i/>
          <w:lang w:val="ru-RU"/>
        </w:rPr>
        <w:t>.</w:t>
      </w:r>
    </w:p>
    <w:p w:rsidR="0093269F" w:rsidRPr="00794B0C" w:rsidRDefault="00794B0C" w:rsidP="00A62888">
      <w:pPr>
        <w:rPr>
          <w:i/>
          <w:lang w:val="ru-RU"/>
        </w:rPr>
      </w:pPr>
      <w:r w:rsidRPr="00794B0C">
        <w:rPr>
          <w:i/>
          <w:lang w:val="ru-RU"/>
        </w:rPr>
        <w:t>ООО "Фанпром" является одним из крупнейших налогоплательщиков. Предприятие входит в перечень стратегических предприятий, оказывающих существенное влияние на экономику региона. При найме персонала предпочтение отдается местному населению. В компании внедрена система мотивации сотрудников</w:t>
      </w:r>
      <w:r w:rsidR="00A62888" w:rsidRPr="00794B0C">
        <w:rPr>
          <w:i/>
          <w:lang w:val="ru-RU"/>
        </w:rPr>
        <w:t>.</w:t>
      </w:r>
    </w:p>
    <w:p w:rsidR="00DD6D07" w:rsidRPr="00794B0C" w:rsidRDefault="00794B0C" w:rsidP="00794B0C">
      <w:pPr>
        <w:pStyle w:val="2"/>
        <w:numPr>
          <w:ilvl w:val="0"/>
          <w:numId w:val="0"/>
        </w:numPr>
        <w:ind w:left="284"/>
        <w:rPr>
          <w:lang w:val="ru-RU"/>
        </w:rPr>
      </w:pPr>
      <w:bookmarkStart w:id="1" w:name="_Toc412646197"/>
      <w:bookmarkStart w:id="2" w:name="_Toc454366455"/>
      <w:r w:rsidRPr="00794B0C">
        <w:rPr>
          <w:lang w:val="ru-RU"/>
        </w:rPr>
        <w:lastRenderedPageBreak/>
        <w:t>2.</w:t>
      </w:r>
      <w:bookmarkEnd w:id="1"/>
      <w:bookmarkEnd w:id="2"/>
      <w:r>
        <w:rPr>
          <w:lang w:val="ru-RU"/>
        </w:rPr>
        <w:t>2</w:t>
      </w:r>
      <w:r w:rsidRPr="00794B0C">
        <w:rPr>
          <w:lang w:val="ru-RU"/>
        </w:rPr>
        <w:t xml:space="preserve"> </w:t>
      </w:r>
      <w:r w:rsidRPr="00E05425">
        <w:rPr>
          <w:lang w:val="ru-RU"/>
        </w:rPr>
        <w:t>Предпр</w:t>
      </w:r>
      <w:r>
        <w:rPr>
          <w:lang w:val="ru-RU"/>
        </w:rPr>
        <w:t xml:space="preserve">инятые действия для продвижения </w:t>
      </w:r>
      <w:r w:rsidRPr="00E05425">
        <w:rPr>
          <w:lang w:val="ru-RU"/>
        </w:rPr>
        <w:t>сертификации среди поставщиков сырья</w:t>
      </w:r>
    </w:p>
    <w:p w:rsidR="00794B0C" w:rsidRDefault="00794B0C" w:rsidP="00794B0C">
      <w:pPr>
        <w:pStyle w:val="2"/>
        <w:numPr>
          <w:ilvl w:val="0"/>
          <w:numId w:val="0"/>
        </w:numPr>
        <w:ind w:left="284"/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</w:pPr>
      <w:bookmarkStart w:id="3" w:name="_Toc412646198"/>
      <w:bookmarkStart w:id="4" w:name="_Toc454366456"/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 xml:space="preserve">ООО </w:t>
      </w:r>
      <w:proofErr w:type="spellStart"/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</w:rPr>
        <w:t>Fanpro</w:t>
      </w:r>
      <w:proofErr w:type="spellEnd"/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 xml:space="preserve"> информирует поставщиков о важности и необходимости сертификации </w:t>
      </w:r>
      <w:proofErr w:type="spellStart"/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>лесоуправления</w:t>
      </w:r>
      <w:proofErr w:type="spellEnd"/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 xml:space="preserve"> по системе </w:t>
      </w:r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</w:rPr>
        <w:t>FSC</w:t>
      </w:r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 xml:space="preserve">. В будущем приоритет будет отдаваться сертифицированным </w:t>
      </w:r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</w:rPr>
        <w:t>FSC</w:t>
      </w:r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 xml:space="preserve"> поставщикам.</w:t>
      </w:r>
    </w:p>
    <w:p w:rsidR="00DD6D07" w:rsidRPr="00794B0C" w:rsidRDefault="00794B0C" w:rsidP="00794B0C">
      <w:pPr>
        <w:pStyle w:val="2"/>
        <w:numPr>
          <w:ilvl w:val="0"/>
          <w:numId w:val="0"/>
        </w:numPr>
        <w:ind w:left="284"/>
        <w:rPr>
          <w:lang w:val="ru-RU"/>
        </w:rPr>
      </w:pPr>
      <w:r>
        <w:rPr>
          <w:lang w:val="ru-RU"/>
        </w:rPr>
        <w:t>2.</w:t>
      </w:r>
      <w:bookmarkEnd w:id="3"/>
      <w:bookmarkEnd w:id="4"/>
      <w:r>
        <w:rPr>
          <w:lang w:val="ru-RU"/>
        </w:rPr>
        <w:t>3</w:t>
      </w:r>
      <w:r w:rsidRPr="00794B0C">
        <w:rPr>
          <w:lang w:val="ru-RU"/>
        </w:rPr>
        <w:t xml:space="preserve"> </w:t>
      </w:r>
      <w:r w:rsidRPr="00E05425">
        <w:rPr>
          <w:lang w:val="ru-RU"/>
        </w:rPr>
        <w:t xml:space="preserve">Программа определения доли древесины, полученной от </w:t>
      </w:r>
      <w:r>
        <w:rPr>
          <w:lang w:val="ru-RU"/>
        </w:rPr>
        <w:t xml:space="preserve">финальных </w:t>
      </w:r>
      <w:r w:rsidRPr="00E05425">
        <w:rPr>
          <w:lang w:val="ru-RU"/>
        </w:rPr>
        <w:t>рубок</w:t>
      </w:r>
    </w:p>
    <w:p w:rsidR="00794B0C" w:rsidRDefault="00794B0C" w:rsidP="00794B0C">
      <w:pPr>
        <w:pStyle w:val="2"/>
        <w:numPr>
          <w:ilvl w:val="0"/>
          <w:numId w:val="0"/>
        </w:numPr>
        <w:ind w:left="284"/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</w:pPr>
      <w:bookmarkStart w:id="5" w:name="_Toc412646199"/>
      <w:bookmarkStart w:id="6" w:name="_Toc454366457"/>
      <w:r w:rsidRPr="00794B0C">
        <w:rPr>
          <w:rFonts w:asciiTheme="minorHAnsi" w:eastAsiaTheme="minorHAnsi" w:hAnsiTheme="minorHAnsi" w:cstheme="minorBidi"/>
          <w:i/>
          <w:color w:val="auto"/>
          <w:sz w:val="20"/>
          <w:szCs w:val="20"/>
          <w:lang w:val="ru-RU"/>
        </w:rPr>
        <w:t>В теоретическом отчетном периоде невозможно сказать, какая доля конечного урожая была использована на пеллеты.</w:t>
      </w:r>
    </w:p>
    <w:p w:rsidR="00794B0C" w:rsidRPr="00E05425" w:rsidRDefault="00794B0C" w:rsidP="00794B0C">
      <w:pPr>
        <w:pStyle w:val="2"/>
        <w:numPr>
          <w:ilvl w:val="0"/>
          <w:numId w:val="0"/>
        </w:numPr>
        <w:ind w:left="862"/>
        <w:rPr>
          <w:lang w:val="ru-RU"/>
        </w:rPr>
      </w:pPr>
      <w:bookmarkStart w:id="7" w:name="_Toc37957635"/>
      <w:r>
        <w:rPr>
          <w:lang w:val="ru-RU"/>
        </w:rPr>
        <w:t>2.4</w:t>
      </w:r>
      <w:r w:rsidRPr="00794B0C">
        <w:rPr>
          <w:lang w:val="ru-RU"/>
        </w:rPr>
        <w:t xml:space="preserve"> </w:t>
      </w:r>
      <w:r w:rsidRPr="00E05425">
        <w:rPr>
          <w:lang w:val="ru-RU"/>
        </w:rPr>
        <w:t>Диаграмма потоков входящего сырья с указанием тип сырья [не обязательно]</w:t>
      </w:r>
      <w:bookmarkEnd w:id="7"/>
    </w:p>
    <w:bookmarkEnd w:id="5"/>
    <w:bookmarkEnd w:id="6"/>
    <w:p w:rsidR="00DD6D07" w:rsidRPr="00794B0C" w:rsidRDefault="00DD6D07" w:rsidP="0066412A">
      <w:pPr>
        <w:pStyle w:val="2"/>
        <w:numPr>
          <w:ilvl w:val="0"/>
          <w:numId w:val="0"/>
        </w:numPr>
        <w:ind w:left="851" w:hanging="851"/>
        <w:rPr>
          <w:lang w:val="en-US"/>
        </w:rPr>
      </w:pPr>
    </w:p>
    <w:p w:rsidR="00DD6D07" w:rsidRPr="0066412A" w:rsidRDefault="00794B0C" w:rsidP="00794B0C">
      <w:pPr>
        <w:pStyle w:val="2"/>
        <w:numPr>
          <w:ilvl w:val="0"/>
          <w:numId w:val="0"/>
        </w:numPr>
        <w:ind w:left="284"/>
        <w:rPr>
          <w:lang w:val="ru-RU"/>
        </w:rPr>
      </w:pPr>
      <w:bookmarkStart w:id="8" w:name="_Toc412646200"/>
      <w:bookmarkStart w:id="9" w:name="_Toc454366458"/>
      <w:r w:rsidRPr="0066412A">
        <w:rPr>
          <w:lang w:val="ru-RU"/>
        </w:rPr>
        <w:t>2.5</w:t>
      </w:r>
      <w:bookmarkStart w:id="10" w:name="_Toc37957636"/>
      <w:bookmarkEnd w:id="8"/>
      <w:bookmarkEnd w:id="9"/>
      <w:r w:rsidR="0066412A" w:rsidRPr="0066412A">
        <w:rPr>
          <w:lang w:val="ru-RU"/>
        </w:rPr>
        <w:t xml:space="preserve"> </w:t>
      </w:r>
      <w:r w:rsidR="0066412A" w:rsidRPr="00E05425">
        <w:rPr>
          <w:lang w:val="ru-RU"/>
        </w:rPr>
        <w:t>Количественное определение ресурсной базы</w:t>
      </w:r>
      <w:bookmarkEnd w:id="10"/>
    </w:p>
    <w:p w:rsidR="0066412A" w:rsidRPr="00E05425" w:rsidRDefault="0066412A" w:rsidP="0066412A">
      <w:pPr>
        <w:pStyle w:val="5"/>
        <w:rPr>
          <w:color w:val="006890"/>
          <w:sz w:val="28"/>
          <w:szCs w:val="28"/>
          <w:lang w:val="ru-RU"/>
        </w:rPr>
      </w:pPr>
      <w:r w:rsidRPr="00E05425">
        <w:rPr>
          <w:color w:val="006890"/>
          <w:sz w:val="28"/>
          <w:szCs w:val="28"/>
          <w:lang w:val="ru-RU"/>
        </w:rPr>
        <w:t>Ресурсная база</w:t>
      </w:r>
    </w:p>
    <w:p w:rsidR="00DD6D07" w:rsidRPr="000A4E92" w:rsidRDefault="000A4E92" w:rsidP="00DD6D07">
      <w:pPr>
        <w:pStyle w:val="a"/>
        <w:numPr>
          <w:ilvl w:val="0"/>
          <w:numId w:val="14"/>
        </w:numPr>
        <w:rPr>
          <w:lang w:val="ru-RU"/>
        </w:rPr>
      </w:pPr>
      <w:r w:rsidRPr="000A4E92">
        <w:rPr>
          <w:lang w:val="ru-RU"/>
        </w:rPr>
        <w:t>Общая площадь базы снабжения</w:t>
      </w:r>
      <w:r>
        <w:rPr>
          <w:lang w:val="ru-RU"/>
        </w:rPr>
        <w:t xml:space="preserve"> (га)</w:t>
      </w:r>
      <w:r w:rsidR="00DD6D07" w:rsidRPr="000A4E92">
        <w:rPr>
          <w:lang w:val="ru-RU"/>
        </w:rPr>
        <w:t xml:space="preserve">: </w:t>
      </w:r>
      <w:r w:rsidR="0093269F" w:rsidRPr="000A4E92">
        <w:rPr>
          <w:lang w:val="ru-RU"/>
        </w:rPr>
        <w:tab/>
      </w:r>
      <w:r w:rsidR="0093269F" w:rsidRPr="000A4E92">
        <w:rPr>
          <w:lang w:val="ru-RU"/>
        </w:rPr>
        <w:tab/>
      </w:r>
      <w:r w:rsidR="00D92611" w:rsidRPr="000A4E92">
        <w:rPr>
          <w:b/>
          <w:lang w:val="ru-RU"/>
        </w:rPr>
        <w:t>3,8</w:t>
      </w:r>
      <w:r w:rsidR="0093269F" w:rsidRPr="000A4E92">
        <w:rPr>
          <w:b/>
          <w:lang w:val="ru-RU"/>
        </w:rPr>
        <w:t xml:space="preserve"> </w:t>
      </w:r>
      <w:r>
        <w:rPr>
          <w:b/>
          <w:lang w:val="ru-RU"/>
        </w:rPr>
        <w:t>млн</w:t>
      </w:r>
      <w:r w:rsidR="00051F9E" w:rsidRPr="000A4E92">
        <w:rPr>
          <w:b/>
          <w:lang w:val="ru-RU"/>
        </w:rPr>
        <w:t>.</w:t>
      </w:r>
      <w:r w:rsidR="0093269F" w:rsidRPr="000A4E92">
        <w:rPr>
          <w:b/>
          <w:lang w:val="ru-RU"/>
        </w:rPr>
        <w:t xml:space="preserve"> </w:t>
      </w:r>
      <w:r w:rsidRPr="000A4E92">
        <w:rPr>
          <w:b/>
          <w:lang w:val="ru-RU"/>
        </w:rPr>
        <w:t>г</w:t>
      </w:r>
      <w:r w:rsidR="0093269F" w:rsidRPr="0093269F">
        <w:rPr>
          <w:b/>
          <w:lang w:val="en-US"/>
        </w:rPr>
        <w:t>a</w:t>
      </w:r>
    </w:p>
    <w:p w:rsidR="00DD6D07" w:rsidRPr="000A4E92" w:rsidRDefault="000A4E92" w:rsidP="00DD6D07">
      <w:pPr>
        <w:pStyle w:val="a"/>
        <w:numPr>
          <w:ilvl w:val="0"/>
          <w:numId w:val="14"/>
        </w:numPr>
        <w:rPr>
          <w:lang w:val="ru-RU"/>
        </w:rPr>
      </w:pPr>
      <w:proofErr w:type="spellStart"/>
      <w:r>
        <w:t>Землевладение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видам</w:t>
      </w:r>
      <w:proofErr w:type="spellEnd"/>
      <w:r>
        <w:t xml:space="preserve"> (</w:t>
      </w:r>
      <w:proofErr w:type="spellStart"/>
      <w:r>
        <w:t>г</w:t>
      </w:r>
      <w:r w:rsidR="00DD6D07">
        <w:t>a</w:t>
      </w:r>
      <w:proofErr w:type="spellEnd"/>
      <w:r w:rsidR="00DD6D07">
        <w:t xml:space="preserve">): </w:t>
      </w:r>
      <w:r w:rsidR="0093269F">
        <w:tab/>
      </w:r>
      <w:r w:rsidR="0093269F">
        <w:tab/>
      </w:r>
      <w:r w:rsidR="0093269F">
        <w:tab/>
      </w:r>
      <w:r w:rsidR="00D92611">
        <w:rPr>
          <w:b/>
          <w:lang w:val="en-US"/>
        </w:rPr>
        <w:t>3</w:t>
      </w:r>
      <w:proofErr w:type="gramStart"/>
      <w:r w:rsidR="00D92611">
        <w:rPr>
          <w:b/>
          <w:lang w:val="en-US"/>
        </w:rPr>
        <w:t>,8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млн</w:t>
      </w:r>
      <w:proofErr w:type="spellEnd"/>
      <w:r w:rsidR="0093269F" w:rsidRPr="0093269F">
        <w:rPr>
          <w:b/>
          <w:lang w:val="en-US"/>
        </w:rPr>
        <w:t xml:space="preserve">. </w:t>
      </w:r>
      <w:r w:rsidRPr="000A4E92">
        <w:rPr>
          <w:b/>
          <w:lang w:val="ru-RU"/>
        </w:rPr>
        <w:t>Г</w:t>
      </w:r>
      <w:r>
        <w:rPr>
          <w:b/>
          <w:lang w:val="en-US"/>
        </w:rPr>
        <w:t>a</w:t>
      </w:r>
      <w:r w:rsidRPr="000A4E92">
        <w:rPr>
          <w:b/>
          <w:lang w:val="ru-RU"/>
        </w:rPr>
        <w:t xml:space="preserve"> </w:t>
      </w:r>
      <w:r>
        <w:rPr>
          <w:b/>
          <w:lang w:val="ru-RU"/>
        </w:rPr>
        <w:t>государственных</w:t>
      </w:r>
      <w:r w:rsidR="0093269F" w:rsidRPr="000A4E92">
        <w:rPr>
          <w:b/>
          <w:lang w:val="ru-RU"/>
        </w:rPr>
        <w:t xml:space="preserve"> </w:t>
      </w:r>
      <w:r>
        <w:rPr>
          <w:b/>
          <w:lang w:val="ru-RU"/>
        </w:rPr>
        <w:t>(аренда государственных лесов</w:t>
      </w:r>
      <w:r w:rsidR="0093269F" w:rsidRPr="000A4E92">
        <w:rPr>
          <w:b/>
          <w:lang w:val="ru-RU"/>
        </w:rPr>
        <w:t>)</w:t>
      </w:r>
    </w:p>
    <w:p w:rsidR="00DD6D07" w:rsidRPr="000A4E92" w:rsidRDefault="000A4E92" w:rsidP="00DD6D07">
      <w:pPr>
        <w:pStyle w:val="a"/>
        <w:numPr>
          <w:ilvl w:val="0"/>
          <w:numId w:val="14"/>
        </w:numPr>
        <w:rPr>
          <w:lang w:val="ru-RU"/>
        </w:rPr>
      </w:pPr>
      <w:r w:rsidRPr="000A4E92">
        <w:rPr>
          <w:lang w:val="ru-RU"/>
        </w:rPr>
        <w:t>Лес по видам (г</w:t>
      </w:r>
      <w:r w:rsidR="00DD6D07">
        <w:t>a</w:t>
      </w:r>
      <w:proofErr w:type="gramStart"/>
      <w:r w:rsidR="00DD6D07" w:rsidRPr="000A4E92">
        <w:rPr>
          <w:lang w:val="ru-RU"/>
        </w:rPr>
        <w:t>):</w:t>
      </w:r>
      <w:r w:rsidR="00DD6D07" w:rsidRPr="000A4E92">
        <w:rPr>
          <w:lang w:val="ru-RU"/>
        </w:rPr>
        <w:tab/>
      </w:r>
      <w:proofErr w:type="gramEnd"/>
      <w:r w:rsidR="0093269F" w:rsidRPr="000A4E92">
        <w:rPr>
          <w:lang w:val="ru-RU"/>
        </w:rPr>
        <w:tab/>
      </w:r>
      <w:r w:rsidR="0093269F" w:rsidRPr="000A4E92">
        <w:rPr>
          <w:lang w:val="ru-RU"/>
        </w:rPr>
        <w:tab/>
      </w:r>
      <w:r w:rsidR="0093269F" w:rsidRPr="000A4E92">
        <w:rPr>
          <w:lang w:val="ru-RU"/>
        </w:rPr>
        <w:tab/>
      </w:r>
      <w:r w:rsidR="00D92611" w:rsidRPr="000A4E92">
        <w:rPr>
          <w:b/>
          <w:lang w:val="ru-RU"/>
        </w:rPr>
        <w:t>1,2</w:t>
      </w:r>
      <w:r w:rsidR="00077D87" w:rsidRPr="000A4E92">
        <w:rPr>
          <w:b/>
          <w:lang w:val="ru-RU"/>
        </w:rPr>
        <w:t xml:space="preserve"> </w:t>
      </w:r>
      <w:r w:rsidRPr="000A4E92">
        <w:rPr>
          <w:b/>
          <w:lang w:val="ru-RU"/>
        </w:rPr>
        <w:t>млн</w:t>
      </w:r>
      <w:r w:rsidR="00077D87" w:rsidRPr="000A4E92">
        <w:rPr>
          <w:b/>
          <w:lang w:val="ru-RU"/>
        </w:rPr>
        <w:t xml:space="preserve">. </w:t>
      </w:r>
      <w:r w:rsidRPr="000A4E92">
        <w:rPr>
          <w:b/>
          <w:lang w:val="ru-RU"/>
        </w:rPr>
        <w:t>г</w:t>
      </w:r>
      <w:r w:rsidR="0093269F">
        <w:rPr>
          <w:b/>
          <w:lang w:val="en-US"/>
        </w:rPr>
        <w:t>a</w:t>
      </w:r>
      <w:r w:rsidR="0093269F" w:rsidRPr="000A4E92">
        <w:rPr>
          <w:b/>
          <w:lang w:val="ru-RU"/>
        </w:rPr>
        <w:t xml:space="preserve"> </w:t>
      </w:r>
      <w:r w:rsidRPr="000A4E92">
        <w:rPr>
          <w:b/>
          <w:lang w:val="ru-RU"/>
        </w:rPr>
        <w:t>бореальных</w:t>
      </w:r>
      <w:r w:rsidR="00051F9E" w:rsidRPr="000A4E92">
        <w:rPr>
          <w:b/>
          <w:lang w:val="ru-RU"/>
        </w:rPr>
        <w:t xml:space="preserve"> / 2,6</w:t>
      </w:r>
      <w:r w:rsidR="00077D87" w:rsidRPr="000A4E92">
        <w:rPr>
          <w:b/>
          <w:lang w:val="ru-RU"/>
        </w:rPr>
        <w:t xml:space="preserve"> </w:t>
      </w:r>
      <w:r w:rsidRPr="000A4E92">
        <w:rPr>
          <w:b/>
          <w:lang w:val="ru-RU"/>
        </w:rPr>
        <w:t>млн</w:t>
      </w:r>
      <w:r w:rsidR="00077D87" w:rsidRPr="000A4E92">
        <w:rPr>
          <w:b/>
          <w:lang w:val="ru-RU"/>
        </w:rPr>
        <w:t xml:space="preserve">. </w:t>
      </w:r>
      <w:r w:rsidRPr="000A4E92">
        <w:rPr>
          <w:b/>
          <w:lang w:val="ru-RU"/>
        </w:rPr>
        <w:t>г</w:t>
      </w:r>
      <w:r w:rsidR="00077D87" w:rsidRPr="00077D87">
        <w:rPr>
          <w:b/>
          <w:lang w:val="en-US"/>
        </w:rPr>
        <w:t>a</w:t>
      </w:r>
      <w:r w:rsidR="00077D87" w:rsidRPr="000A4E92">
        <w:rPr>
          <w:b/>
          <w:lang w:val="ru-RU"/>
        </w:rPr>
        <w:t xml:space="preserve"> </w:t>
      </w:r>
      <w:r>
        <w:rPr>
          <w:b/>
          <w:lang w:val="ru-RU"/>
        </w:rPr>
        <w:t>умеренный</w:t>
      </w:r>
    </w:p>
    <w:p w:rsidR="00DD6D07" w:rsidRPr="000A4E92" w:rsidRDefault="000A4E92" w:rsidP="00DD6D07">
      <w:pPr>
        <w:pStyle w:val="a"/>
        <w:numPr>
          <w:ilvl w:val="0"/>
          <w:numId w:val="14"/>
        </w:numPr>
        <w:rPr>
          <w:lang w:val="ru-RU"/>
        </w:rPr>
      </w:pPr>
      <w:r w:rsidRPr="000A4E92">
        <w:rPr>
          <w:lang w:val="ru-RU"/>
        </w:rPr>
        <w:t>Лес по видам хозяйствования (г</w:t>
      </w:r>
      <w:r w:rsidR="00DD6D07">
        <w:t>a</w:t>
      </w:r>
      <w:r w:rsidR="00DD6D07" w:rsidRPr="000A4E92">
        <w:rPr>
          <w:lang w:val="ru-RU"/>
        </w:rPr>
        <w:t xml:space="preserve">): </w:t>
      </w:r>
      <w:r w:rsidR="00077D87" w:rsidRPr="000A4E92">
        <w:rPr>
          <w:lang w:val="ru-RU"/>
        </w:rPr>
        <w:tab/>
      </w:r>
      <w:r w:rsidR="00077D87" w:rsidRPr="000A4E92">
        <w:rPr>
          <w:lang w:val="ru-RU"/>
        </w:rPr>
        <w:tab/>
      </w:r>
      <w:r w:rsidR="00D92611" w:rsidRPr="000A4E92">
        <w:rPr>
          <w:b/>
          <w:lang w:val="ru-RU"/>
        </w:rPr>
        <w:t>3,8</w:t>
      </w:r>
      <w:r w:rsidR="00051F9E" w:rsidRPr="000A4E92">
        <w:rPr>
          <w:b/>
          <w:lang w:val="ru-RU"/>
        </w:rPr>
        <w:t xml:space="preserve"> </w:t>
      </w:r>
      <w:r>
        <w:rPr>
          <w:b/>
          <w:lang w:val="ru-RU"/>
        </w:rPr>
        <w:t>млн</w:t>
      </w:r>
      <w:r w:rsidR="00051F9E" w:rsidRPr="000A4E92">
        <w:rPr>
          <w:b/>
          <w:lang w:val="ru-RU"/>
        </w:rPr>
        <w:t>.</w:t>
      </w:r>
      <w:r w:rsidR="00077D87" w:rsidRPr="000A4E92">
        <w:rPr>
          <w:b/>
          <w:lang w:val="ru-RU"/>
        </w:rPr>
        <w:t xml:space="preserve"> </w:t>
      </w:r>
      <w:r w:rsidRPr="000A4E92">
        <w:rPr>
          <w:b/>
          <w:lang w:val="ru-RU"/>
        </w:rPr>
        <w:t>г</w:t>
      </w:r>
      <w:r w:rsidR="00077D87">
        <w:rPr>
          <w:b/>
          <w:lang w:val="en-US"/>
        </w:rPr>
        <w:t>a</w:t>
      </w:r>
      <w:r w:rsidR="00077D87" w:rsidRPr="000A4E92">
        <w:rPr>
          <w:b/>
          <w:lang w:val="ru-RU"/>
        </w:rPr>
        <w:t xml:space="preserve"> </w:t>
      </w:r>
      <w:r w:rsidR="00B104DD">
        <w:rPr>
          <w:b/>
          <w:lang w:val="ru-RU"/>
        </w:rPr>
        <w:t>управляемый естественный</w:t>
      </w:r>
    </w:p>
    <w:p w:rsidR="00DD6D07" w:rsidRPr="00B104DD" w:rsidRDefault="00B104DD" w:rsidP="00DD6D07">
      <w:pPr>
        <w:pStyle w:val="a"/>
        <w:numPr>
          <w:ilvl w:val="0"/>
          <w:numId w:val="14"/>
        </w:numPr>
        <w:rPr>
          <w:lang w:val="ru-RU"/>
        </w:rPr>
      </w:pPr>
      <w:r>
        <w:t>Ce</w:t>
      </w:r>
      <w:proofErr w:type="spellStart"/>
      <w:r w:rsidRPr="00B104DD">
        <w:rPr>
          <w:lang w:val="ru-RU"/>
        </w:rPr>
        <w:t>ртифицированный</w:t>
      </w:r>
      <w:proofErr w:type="spellEnd"/>
      <w:r w:rsidRPr="00B104DD">
        <w:rPr>
          <w:lang w:val="ru-RU"/>
        </w:rPr>
        <w:t xml:space="preserve"> лес по схеме (г</w:t>
      </w:r>
      <w:r>
        <w:t>a</w:t>
      </w:r>
      <w:r w:rsidRPr="00B104DD">
        <w:rPr>
          <w:lang w:val="ru-RU"/>
        </w:rPr>
        <w:t xml:space="preserve">):     </w:t>
      </w:r>
      <w:r w:rsidR="00DD6D07" w:rsidRPr="00B104DD">
        <w:rPr>
          <w:lang w:val="ru-RU"/>
        </w:rPr>
        <w:t xml:space="preserve"> </w:t>
      </w:r>
      <w:r w:rsidR="00077D87" w:rsidRPr="00B104DD">
        <w:rPr>
          <w:lang w:val="ru-RU"/>
        </w:rPr>
        <w:tab/>
      </w:r>
      <w:r w:rsidRPr="00B104DD">
        <w:rPr>
          <w:b/>
          <w:lang w:val="ru-RU"/>
        </w:rPr>
        <w:t>напр.</w:t>
      </w:r>
      <w:r>
        <w:rPr>
          <w:lang w:val="ru-RU"/>
        </w:rPr>
        <w:t xml:space="preserve"> </w:t>
      </w:r>
      <w:r w:rsidR="00D92611" w:rsidRPr="00B104DD">
        <w:rPr>
          <w:b/>
          <w:lang w:val="ru-RU"/>
        </w:rPr>
        <w:t>0,3</w:t>
      </w:r>
      <w:r w:rsidR="00DF25F3" w:rsidRPr="00B104DD">
        <w:rPr>
          <w:b/>
          <w:lang w:val="ru-RU"/>
        </w:rPr>
        <w:t xml:space="preserve"> </w:t>
      </w:r>
      <w:r w:rsidRPr="00B104DD">
        <w:rPr>
          <w:b/>
          <w:lang w:val="ru-RU"/>
        </w:rPr>
        <w:t>млн</w:t>
      </w:r>
      <w:r w:rsidR="00DF25F3" w:rsidRPr="00B104DD">
        <w:rPr>
          <w:b/>
          <w:lang w:val="ru-RU"/>
        </w:rPr>
        <w:t>.</w:t>
      </w:r>
      <w:r w:rsidR="00077D87" w:rsidRPr="00B104DD">
        <w:rPr>
          <w:b/>
          <w:lang w:val="ru-RU"/>
        </w:rPr>
        <w:t xml:space="preserve"> </w:t>
      </w:r>
      <w:r w:rsidRPr="00B104DD">
        <w:rPr>
          <w:b/>
          <w:lang w:val="ru-RU"/>
        </w:rPr>
        <w:t>г</w:t>
      </w:r>
      <w:r w:rsidR="00077D87" w:rsidRPr="00051F9E">
        <w:rPr>
          <w:b/>
          <w:lang w:val="en-US"/>
        </w:rPr>
        <w:t>a</w:t>
      </w:r>
      <w:r w:rsidR="00077D87" w:rsidRPr="00B104DD">
        <w:rPr>
          <w:b/>
          <w:lang w:val="ru-RU"/>
        </w:rPr>
        <w:t xml:space="preserve"> </w:t>
      </w:r>
      <w:r w:rsidR="00077D87" w:rsidRPr="000412BA">
        <w:rPr>
          <w:b/>
        </w:rPr>
        <w:t>FSC</w:t>
      </w:r>
      <w:r w:rsidR="00077D87" w:rsidRPr="00B104DD">
        <w:rPr>
          <w:b/>
          <w:lang w:val="ru-RU"/>
        </w:rPr>
        <w:t>-</w:t>
      </w:r>
      <w:r w:rsidRPr="00B104DD">
        <w:rPr>
          <w:b/>
          <w:lang w:val="ru-RU"/>
        </w:rPr>
        <w:t>сертифицированных</w:t>
      </w:r>
    </w:p>
    <w:p w:rsidR="00DD6D07" w:rsidRPr="009813C7" w:rsidRDefault="00B104DD" w:rsidP="00DD6D07">
      <w:pPr>
        <w:pStyle w:val="5"/>
        <w:rPr>
          <w:sz w:val="28"/>
          <w:szCs w:val="28"/>
        </w:rPr>
      </w:pPr>
      <w:proofErr w:type="spellStart"/>
      <w:r>
        <w:rPr>
          <w:sz w:val="28"/>
          <w:szCs w:val="28"/>
        </w:rPr>
        <w:t>Сырьё</w:t>
      </w:r>
      <w:proofErr w:type="spellEnd"/>
    </w:p>
    <w:p w:rsidR="00DD6D07" w:rsidRDefault="00B104DD" w:rsidP="00DD6D07">
      <w:pPr>
        <w:pStyle w:val="a"/>
        <w:numPr>
          <w:ilvl w:val="0"/>
          <w:numId w:val="14"/>
        </w:numPr>
      </w:pPr>
      <w:proofErr w:type="spellStart"/>
      <w:r>
        <w:t>Общий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сырья</w:t>
      </w:r>
      <w:proofErr w:type="spellEnd"/>
      <w:r w:rsidR="00DD6D07">
        <w:t xml:space="preserve">: </w:t>
      </w:r>
      <w:r w:rsidR="00A76180">
        <w:tab/>
      </w:r>
      <w:r w:rsidR="00A76180">
        <w:tab/>
      </w:r>
      <w:r w:rsidR="00A76180">
        <w:tab/>
      </w:r>
      <w:r w:rsidR="00D92611" w:rsidRPr="00D92611">
        <w:rPr>
          <w:b/>
          <w:lang w:val="en-US"/>
        </w:rPr>
        <w:t xml:space="preserve">60760 </w:t>
      </w:r>
      <w:proofErr w:type="spellStart"/>
      <w:r>
        <w:rPr>
          <w:b/>
          <w:lang w:val="en-US"/>
        </w:rPr>
        <w:t>тонны</w:t>
      </w:r>
      <w:proofErr w:type="spellEnd"/>
      <w:r w:rsidR="00A76180">
        <w:rPr>
          <w:b/>
          <w:lang w:val="en-US"/>
        </w:rPr>
        <w:t>.</w:t>
      </w:r>
    </w:p>
    <w:p w:rsidR="00DD6D07" w:rsidRDefault="00B104DD" w:rsidP="00DD6D07">
      <w:pPr>
        <w:pStyle w:val="a"/>
        <w:numPr>
          <w:ilvl w:val="0"/>
          <w:numId w:val="14"/>
        </w:numPr>
      </w:pPr>
      <w:proofErr w:type="spellStart"/>
      <w:r>
        <w:t>Объём</w:t>
      </w:r>
      <w:proofErr w:type="spellEnd"/>
      <w:r>
        <w:t xml:space="preserve"> </w:t>
      </w:r>
      <w:proofErr w:type="spellStart"/>
      <w:r>
        <w:t>первичного</w:t>
      </w:r>
      <w:proofErr w:type="spellEnd"/>
      <w:r>
        <w:t xml:space="preserve"> </w:t>
      </w:r>
      <w:proofErr w:type="spellStart"/>
      <w:r>
        <w:t>сырья</w:t>
      </w:r>
      <w:proofErr w:type="spellEnd"/>
      <w:r w:rsidR="00DD6D07">
        <w:t xml:space="preserve">: </w:t>
      </w:r>
      <w:r w:rsidR="00A76180">
        <w:tab/>
      </w:r>
      <w:r w:rsidR="00A76180">
        <w:tab/>
      </w:r>
      <w:r w:rsidR="00D92611">
        <w:rPr>
          <w:b/>
          <w:lang w:val="en-US"/>
        </w:rPr>
        <w:t>22399</w:t>
      </w:r>
      <w:r w:rsidR="006675FE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тонны</w:t>
      </w:r>
      <w:proofErr w:type="spellEnd"/>
      <w:r w:rsidR="00A76180">
        <w:rPr>
          <w:b/>
          <w:lang w:val="en-US"/>
        </w:rPr>
        <w:t>.</w:t>
      </w:r>
    </w:p>
    <w:p w:rsidR="00DD6D07" w:rsidRDefault="00B104DD" w:rsidP="000744F2">
      <w:pPr>
        <w:pStyle w:val="a"/>
        <w:numPr>
          <w:ilvl w:val="0"/>
          <w:numId w:val="14"/>
        </w:numPr>
      </w:pPr>
      <w:r w:rsidRPr="004A2528">
        <w:rPr>
          <w:lang w:val="ru-RU"/>
        </w:rPr>
        <w:t>Перечислите процент содержания первичного сырья (g), по следующим категориям.  Подразделите по SBP-ут</w:t>
      </w:r>
      <w:r>
        <w:rPr>
          <w:lang w:val="ru-RU"/>
        </w:rPr>
        <w:t xml:space="preserve">верждённой схеме </w:t>
      </w:r>
      <w:proofErr w:type="spellStart"/>
      <w:r>
        <w:rPr>
          <w:lang w:val="ru-RU"/>
        </w:rPr>
        <w:t>лесоуправления</w:t>
      </w:r>
      <w:proofErr w:type="spellEnd"/>
      <w:r w:rsidR="00DD6D07">
        <w:t>:</w:t>
      </w:r>
    </w:p>
    <w:p w:rsidR="00DD6D07" w:rsidRPr="00B104DD" w:rsidRDefault="00B104DD" w:rsidP="00DD6D07">
      <w:pPr>
        <w:pStyle w:val="a"/>
        <w:numPr>
          <w:ilvl w:val="1"/>
          <w:numId w:val="14"/>
        </w:numPr>
        <w:rPr>
          <w:lang w:val="ru-RU"/>
        </w:rPr>
      </w:pPr>
      <w:r w:rsidRPr="004A2528">
        <w:rPr>
          <w:lang w:val="ru-RU"/>
        </w:rPr>
        <w:t xml:space="preserve">Сертифицированные по </w:t>
      </w:r>
      <w:r w:rsidRPr="004A2528">
        <w:t>SBP</w:t>
      </w:r>
      <w:r w:rsidRPr="004A2528">
        <w:rPr>
          <w:lang w:val="ru-RU"/>
        </w:rPr>
        <w:t>-утве</w:t>
      </w:r>
      <w:r>
        <w:rPr>
          <w:lang w:val="ru-RU"/>
        </w:rPr>
        <w:t xml:space="preserve">ржденной схеме </w:t>
      </w:r>
      <w:proofErr w:type="spellStart"/>
      <w:r>
        <w:rPr>
          <w:lang w:val="ru-RU"/>
        </w:rPr>
        <w:t>лесоуправления</w:t>
      </w:r>
      <w:proofErr w:type="spellEnd"/>
      <w:r>
        <w:rPr>
          <w:lang w:val="ru-RU"/>
        </w:rPr>
        <w:t xml:space="preserve"> </w:t>
      </w:r>
      <w:r w:rsidR="00A76180" w:rsidRPr="00B104DD">
        <w:rPr>
          <w:lang w:val="ru-RU"/>
        </w:rPr>
        <w:t xml:space="preserve">– </w:t>
      </w:r>
      <w:r w:rsidR="00A76180" w:rsidRPr="00B104DD">
        <w:rPr>
          <w:lang w:val="ru-RU"/>
        </w:rPr>
        <w:tab/>
      </w:r>
      <w:r w:rsidR="00D92611" w:rsidRPr="00B104DD">
        <w:rPr>
          <w:b/>
          <w:lang w:val="ru-RU"/>
        </w:rPr>
        <w:t>22399</w:t>
      </w:r>
      <w:r w:rsidR="006675FE" w:rsidRPr="00B104DD">
        <w:rPr>
          <w:b/>
          <w:lang w:val="ru-RU"/>
        </w:rPr>
        <w:t xml:space="preserve"> </w:t>
      </w:r>
      <w:r w:rsidRPr="00B104DD">
        <w:rPr>
          <w:b/>
          <w:lang w:val="ru-RU"/>
        </w:rPr>
        <w:t>тонны</w:t>
      </w:r>
      <w:r w:rsidR="00A76180" w:rsidRPr="00B104DD">
        <w:rPr>
          <w:b/>
          <w:lang w:val="ru-RU"/>
        </w:rPr>
        <w:t>.</w:t>
      </w:r>
    </w:p>
    <w:p w:rsidR="00DD6D07" w:rsidRPr="00B104DD" w:rsidRDefault="00B104DD" w:rsidP="00DD6D07">
      <w:pPr>
        <w:pStyle w:val="a"/>
        <w:numPr>
          <w:ilvl w:val="1"/>
          <w:numId w:val="14"/>
        </w:numPr>
        <w:rPr>
          <w:lang w:val="ru-RU"/>
        </w:rPr>
      </w:pPr>
      <w:r w:rsidRPr="004A2528">
        <w:rPr>
          <w:lang w:val="ru-RU"/>
        </w:rPr>
        <w:t xml:space="preserve">Несертифицированные по </w:t>
      </w:r>
      <w:r w:rsidRPr="004A2528">
        <w:t>SBP</w:t>
      </w:r>
      <w:r w:rsidRPr="004A2528">
        <w:rPr>
          <w:lang w:val="ru-RU"/>
        </w:rPr>
        <w:t xml:space="preserve">-утвержденной схеме </w:t>
      </w:r>
      <w:proofErr w:type="spellStart"/>
      <w:r w:rsidRPr="004A2528">
        <w:rPr>
          <w:lang w:val="ru-RU"/>
        </w:rPr>
        <w:t>лесоуправления</w:t>
      </w:r>
      <w:proofErr w:type="spellEnd"/>
      <w:r w:rsidRPr="00B104DD">
        <w:rPr>
          <w:lang w:val="ru-RU"/>
        </w:rPr>
        <w:t xml:space="preserve"> </w:t>
      </w:r>
      <w:r w:rsidR="00A76180" w:rsidRPr="00B104DD">
        <w:rPr>
          <w:lang w:val="ru-RU"/>
        </w:rPr>
        <w:t>-</w:t>
      </w:r>
      <w:r w:rsidR="00A76180" w:rsidRPr="00B104DD">
        <w:rPr>
          <w:lang w:val="ru-RU"/>
        </w:rPr>
        <w:tab/>
      </w:r>
      <w:r w:rsidR="00127FE8" w:rsidRPr="00B104DD">
        <w:rPr>
          <w:b/>
          <w:lang w:val="ru-RU"/>
        </w:rPr>
        <w:t>0</w:t>
      </w:r>
      <w:r w:rsidR="00A76180" w:rsidRPr="00B104DD">
        <w:rPr>
          <w:b/>
          <w:lang w:val="ru-RU"/>
        </w:rPr>
        <w:t xml:space="preserve"> </w:t>
      </w:r>
      <w:r w:rsidRPr="00B104DD">
        <w:rPr>
          <w:b/>
          <w:lang w:val="ru-RU"/>
        </w:rPr>
        <w:t>тонны</w:t>
      </w:r>
      <w:r w:rsidR="00A76180" w:rsidRPr="00B104DD">
        <w:rPr>
          <w:b/>
          <w:lang w:val="ru-RU"/>
        </w:rPr>
        <w:t>.</w:t>
      </w:r>
    </w:p>
    <w:p w:rsidR="00DD6D07" w:rsidRPr="00B104DD" w:rsidRDefault="00B104DD" w:rsidP="00B104DD">
      <w:pPr>
        <w:pStyle w:val="a"/>
        <w:numPr>
          <w:ilvl w:val="0"/>
          <w:numId w:val="14"/>
        </w:numPr>
        <w:rPr>
          <w:lang w:val="ru-RU"/>
        </w:rPr>
      </w:pPr>
      <w:r w:rsidRPr="00B104DD">
        <w:rPr>
          <w:lang w:val="ru-RU"/>
        </w:rPr>
        <w:t xml:space="preserve">Перечислите все виды в первичном сырье, включая научное название </w:t>
      </w:r>
      <w:r w:rsidRPr="00B104DD">
        <w:rPr>
          <w:b/>
          <w:lang w:val="ru-RU"/>
        </w:rPr>
        <w:t>– Береза Серебристая (</w:t>
      </w:r>
      <w:proofErr w:type="spellStart"/>
      <w:r w:rsidRPr="00B104DD">
        <w:rPr>
          <w:b/>
        </w:rPr>
        <w:t>betula</w:t>
      </w:r>
      <w:proofErr w:type="spellEnd"/>
      <w:r w:rsidRPr="00B104DD">
        <w:rPr>
          <w:b/>
          <w:lang w:val="ru-RU"/>
        </w:rPr>
        <w:t xml:space="preserve"> </w:t>
      </w:r>
      <w:r w:rsidRPr="00B104DD">
        <w:rPr>
          <w:b/>
        </w:rPr>
        <w:t>pendula</w:t>
      </w:r>
      <w:r w:rsidRPr="00B104DD">
        <w:rPr>
          <w:b/>
          <w:lang w:val="ru-RU"/>
        </w:rPr>
        <w:t>), береза пушистая (</w:t>
      </w:r>
      <w:proofErr w:type="spellStart"/>
      <w:r w:rsidRPr="00B104DD">
        <w:rPr>
          <w:b/>
        </w:rPr>
        <w:t>betula</w:t>
      </w:r>
      <w:proofErr w:type="spellEnd"/>
      <w:r w:rsidRPr="00B104DD">
        <w:rPr>
          <w:b/>
          <w:lang w:val="ru-RU"/>
        </w:rPr>
        <w:t xml:space="preserve"> </w:t>
      </w:r>
      <w:proofErr w:type="spellStart"/>
      <w:r w:rsidRPr="00B104DD">
        <w:rPr>
          <w:b/>
        </w:rPr>
        <w:t>pubescens</w:t>
      </w:r>
      <w:proofErr w:type="spellEnd"/>
      <w:r w:rsidR="00127FE8" w:rsidRPr="00B104DD">
        <w:rPr>
          <w:b/>
          <w:lang w:val="ru-RU"/>
        </w:rPr>
        <w:t>)</w:t>
      </w:r>
      <w:r w:rsidR="00A76180" w:rsidRPr="00B104DD">
        <w:rPr>
          <w:b/>
          <w:lang w:val="ru-RU"/>
        </w:rPr>
        <w:t>.</w:t>
      </w:r>
    </w:p>
    <w:p w:rsidR="00DD6D07" w:rsidRPr="00B104DD" w:rsidRDefault="00B104DD" w:rsidP="00DD6D07">
      <w:pPr>
        <w:pStyle w:val="a"/>
        <w:numPr>
          <w:ilvl w:val="0"/>
          <w:numId w:val="14"/>
        </w:numPr>
        <w:rPr>
          <w:lang w:val="ru-RU"/>
        </w:rPr>
      </w:pPr>
      <w:r w:rsidRPr="004A2528">
        <w:rPr>
          <w:lang w:val="ru-RU"/>
        </w:rPr>
        <w:t xml:space="preserve">Объём первичного сырья из первичных лесов – </w:t>
      </w:r>
      <w:r w:rsidRPr="004A2528">
        <w:rPr>
          <w:b/>
          <w:lang w:val="ru-RU"/>
        </w:rPr>
        <w:t>не применимо</w:t>
      </w:r>
      <w:r w:rsidR="00A76180" w:rsidRPr="00B104DD">
        <w:rPr>
          <w:b/>
          <w:lang w:val="ru-RU"/>
        </w:rPr>
        <w:t>.</w:t>
      </w:r>
    </w:p>
    <w:p w:rsidR="00DD6D07" w:rsidRPr="00B104DD" w:rsidRDefault="00B104DD" w:rsidP="00B104DD">
      <w:pPr>
        <w:pStyle w:val="a"/>
        <w:numPr>
          <w:ilvl w:val="0"/>
          <w:numId w:val="14"/>
        </w:numPr>
        <w:rPr>
          <w:lang w:val="ru-RU"/>
        </w:rPr>
      </w:pPr>
      <w:r w:rsidRPr="00B104DD">
        <w:rPr>
          <w:lang w:val="ru-RU"/>
        </w:rPr>
        <w:t xml:space="preserve"> Перечислите процентное содержание первичного сырья из первичного леса (</w:t>
      </w:r>
      <w:r w:rsidRPr="00B104DD">
        <w:t>j</w:t>
      </w:r>
      <w:r w:rsidRPr="00B104DD">
        <w:rPr>
          <w:lang w:val="ru-RU"/>
        </w:rPr>
        <w:t>) по следующим категориям. Подразделять с помощью СБП-утвержденные схемы управления лесами</w:t>
      </w:r>
      <w:r w:rsidR="00DD6D07" w:rsidRPr="00B104DD">
        <w:rPr>
          <w:lang w:val="ru-RU"/>
        </w:rPr>
        <w:t>:</w:t>
      </w:r>
    </w:p>
    <w:p w:rsidR="00DD6D07" w:rsidRPr="00B104DD" w:rsidRDefault="00B104DD" w:rsidP="00B104DD">
      <w:pPr>
        <w:pStyle w:val="a"/>
        <w:numPr>
          <w:ilvl w:val="1"/>
          <w:numId w:val="14"/>
        </w:numPr>
        <w:rPr>
          <w:lang w:val="ru-RU"/>
        </w:rPr>
      </w:pPr>
      <w:r w:rsidRPr="00B104DD">
        <w:rPr>
          <w:lang w:val="ru-RU"/>
        </w:rPr>
        <w:t xml:space="preserve">- Первичного сырья из первичных лесов, сертифицированных для драйвера </w:t>
      </w:r>
      <w:r w:rsidRPr="00B104DD">
        <w:t>SBP</w:t>
      </w:r>
      <w:r w:rsidRPr="00B104DD">
        <w:rPr>
          <w:lang w:val="ru-RU"/>
        </w:rPr>
        <w:t xml:space="preserve">-утвержденной схеме </w:t>
      </w:r>
      <w:proofErr w:type="spellStart"/>
      <w:r w:rsidRPr="00B104DD">
        <w:rPr>
          <w:lang w:val="ru-RU"/>
        </w:rPr>
        <w:t>лесоуправления</w:t>
      </w:r>
      <w:proofErr w:type="spellEnd"/>
      <w:r w:rsidR="00A76180" w:rsidRPr="00B104DD">
        <w:rPr>
          <w:lang w:val="ru-RU"/>
        </w:rPr>
        <w:t xml:space="preserve"> - </w:t>
      </w:r>
      <w:r w:rsidR="00A76180" w:rsidRPr="00B104DD">
        <w:rPr>
          <w:lang w:val="ru-RU"/>
        </w:rPr>
        <w:tab/>
      </w:r>
      <w:r w:rsidR="00A76180" w:rsidRPr="00B104DD">
        <w:rPr>
          <w:lang w:val="ru-RU"/>
        </w:rPr>
        <w:tab/>
      </w:r>
      <w:r w:rsidR="00A76180" w:rsidRPr="00B104DD">
        <w:rPr>
          <w:lang w:val="ru-RU"/>
        </w:rPr>
        <w:tab/>
      </w:r>
      <w:r w:rsidR="00A76180" w:rsidRPr="00B104DD">
        <w:rPr>
          <w:lang w:val="ru-RU"/>
        </w:rPr>
        <w:tab/>
      </w:r>
      <w:r w:rsidR="00A76180" w:rsidRPr="00B104DD">
        <w:rPr>
          <w:b/>
          <w:lang w:val="ru-RU"/>
        </w:rPr>
        <w:t xml:space="preserve">0 </w:t>
      </w:r>
      <w:r w:rsidRPr="00B104DD">
        <w:rPr>
          <w:b/>
          <w:lang w:val="ru-RU"/>
        </w:rPr>
        <w:t>тонны</w:t>
      </w:r>
      <w:r w:rsidR="00A76180" w:rsidRPr="00B104DD">
        <w:rPr>
          <w:b/>
          <w:lang w:val="ru-RU"/>
        </w:rPr>
        <w:t>.</w:t>
      </w:r>
    </w:p>
    <w:p w:rsidR="00DD6D07" w:rsidRPr="00B104DD" w:rsidRDefault="00B104DD" w:rsidP="00B104DD">
      <w:pPr>
        <w:pStyle w:val="a"/>
        <w:numPr>
          <w:ilvl w:val="1"/>
          <w:numId w:val="14"/>
        </w:numPr>
        <w:rPr>
          <w:lang w:val="ru-RU"/>
        </w:rPr>
      </w:pPr>
      <w:r w:rsidRPr="00B104DD">
        <w:rPr>
          <w:lang w:val="ru-RU"/>
        </w:rPr>
        <w:lastRenderedPageBreak/>
        <w:t xml:space="preserve">- Первичного сырья из первичных лесов не сертифицирован драйвера </w:t>
      </w:r>
      <w:r w:rsidRPr="00B104DD">
        <w:t>SBP</w:t>
      </w:r>
      <w:r w:rsidRPr="00B104DD">
        <w:rPr>
          <w:lang w:val="ru-RU"/>
        </w:rPr>
        <w:t xml:space="preserve">-утвержденной схеме </w:t>
      </w:r>
      <w:proofErr w:type="spellStart"/>
      <w:r w:rsidRPr="00B104DD">
        <w:rPr>
          <w:lang w:val="ru-RU"/>
        </w:rPr>
        <w:t>лесоуправления</w:t>
      </w:r>
      <w:proofErr w:type="spellEnd"/>
      <w:r w:rsidRPr="00B104DD">
        <w:rPr>
          <w:lang w:val="ru-RU"/>
        </w:rPr>
        <w:t xml:space="preserve"> </w:t>
      </w:r>
      <w:r w:rsidR="00A76180" w:rsidRPr="00B104DD">
        <w:rPr>
          <w:lang w:val="ru-RU"/>
        </w:rPr>
        <w:t>-</w:t>
      </w:r>
      <w:r w:rsidR="00A76180" w:rsidRPr="00B104DD">
        <w:rPr>
          <w:lang w:val="ru-RU"/>
        </w:rPr>
        <w:tab/>
      </w:r>
      <w:r w:rsidR="00A76180" w:rsidRPr="00B104DD">
        <w:rPr>
          <w:lang w:val="ru-RU"/>
        </w:rPr>
        <w:tab/>
      </w:r>
      <w:r w:rsidR="00A76180" w:rsidRPr="00B104DD">
        <w:rPr>
          <w:lang w:val="ru-RU"/>
        </w:rPr>
        <w:tab/>
      </w:r>
      <w:r w:rsidR="00A76180" w:rsidRPr="00B104DD">
        <w:rPr>
          <w:lang w:val="ru-RU"/>
        </w:rPr>
        <w:tab/>
      </w:r>
      <w:r w:rsidR="00A76180" w:rsidRPr="00B104DD">
        <w:rPr>
          <w:b/>
          <w:lang w:val="ru-RU"/>
        </w:rPr>
        <w:t xml:space="preserve">0 </w:t>
      </w:r>
      <w:r w:rsidRPr="00B104DD">
        <w:rPr>
          <w:b/>
          <w:lang w:val="ru-RU"/>
        </w:rPr>
        <w:t>тонны</w:t>
      </w:r>
      <w:r w:rsidR="00A76180" w:rsidRPr="00B104DD">
        <w:rPr>
          <w:b/>
          <w:lang w:val="ru-RU"/>
        </w:rPr>
        <w:t>.</w:t>
      </w:r>
    </w:p>
    <w:p w:rsidR="00DD6D07" w:rsidRPr="00B104DD" w:rsidRDefault="00B104DD" w:rsidP="00B104DD">
      <w:pPr>
        <w:pStyle w:val="a"/>
        <w:numPr>
          <w:ilvl w:val="0"/>
          <w:numId w:val="14"/>
        </w:numPr>
        <w:rPr>
          <w:lang w:val="ru-RU"/>
        </w:rPr>
      </w:pPr>
      <w:r w:rsidRPr="00B104DD">
        <w:t xml:space="preserve"> </w:t>
      </w:r>
      <w:r w:rsidRPr="00B104DD">
        <w:rPr>
          <w:lang w:val="ru-RU"/>
        </w:rPr>
        <w:t>Объем вторичного сырья</w:t>
      </w:r>
      <w:r w:rsidR="00DD6D07" w:rsidRPr="00B104DD">
        <w:rPr>
          <w:lang w:val="ru-RU"/>
        </w:rPr>
        <w:t xml:space="preserve">: </w:t>
      </w:r>
      <w:r w:rsidR="0065362E" w:rsidRPr="00B104DD">
        <w:rPr>
          <w:lang w:val="ru-RU"/>
        </w:rPr>
        <w:tab/>
      </w:r>
      <w:r w:rsidR="0065362E" w:rsidRPr="00B104DD">
        <w:rPr>
          <w:lang w:val="ru-RU"/>
        </w:rPr>
        <w:tab/>
      </w:r>
      <w:r w:rsidRPr="00B104DD">
        <w:rPr>
          <w:b/>
          <w:lang w:val="ru-RU"/>
        </w:rPr>
        <w:t>38361 тонна (остатки производства шпона).</w:t>
      </w:r>
    </w:p>
    <w:p w:rsidR="00DD6D07" w:rsidRPr="00B104DD" w:rsidRDefault="00B104DD" w:rsidP="00B104DD">
      <w:pPr>
        <w:pStyle w:val="a"/>
        <w:numPr>
          <w:ilvl w:val="0"/>
          <w:numId w:val="14"/>
        </w:numPr>
        <w:rPr>
          <w:lang w:val="ru-RU"/>
        </w:rPr>
      </w:pPr>
      <w:r w:rsidRPr="00B104DD">
        <w:rPr>
          <w:lang w:val="ru-RU"/>
        </w:rPr>
        <w:t>Объем третичного сырья</w:t>
      </w:r>
      <w:r w:rsidR="00DD6D07" w:rsidRPr="00B104DD">
        <w:rPr>
          <w:lang w:val="ru-RU"/>
        </w:rPr>
        <w:t xml:space="preserve">: </w:t>
      </w:r>
      <w:r w:rsidR="0065362E" w:rsidRPr="00B104DD">
        <w:rPr>
          <w:lang w:val="ru-RU"/>
        </w:rPr>
        <w:tab/>
      </w:r>
      <w:r w:rsidR="0065362E" w:rsidRPr="00B104DD">
        <w:rPr>
          <w:lang w:val="ru-RU"/>
        </w:rPr>
        <w:tab/>
      </w:r>
      <w:r w:rsidR="0065362E" w:rsidRPr="00B104DD">
        <w:rPr>
          <w:b/>
          <w:lang w:val="ru-RU"/>
        </w:rPr>
        <w:t xml:space="preserve">0 </w:t>
      </w:r>
      <w:proofErr w:type="spellStart"/>
      <w:r>
        <w:rPr>
          <w:b/>
        </w:rPr>
        <w:t>тонны</w:t>
      </w:r>
      <w:proofErr w:type="spellEnd"/>
      <w:r w:rsidR="0065362E" w:rsidRPr="00B104DD">
        <w:rPr>
          <w:b/>
          <w:lang w:val="ru-RU"/>
        </w:rPr>
        <w:t>.</w:t>
      </w:r>
    </w:p>
    <w:p w:rsidR="00B104DD" w:rsidRPr="00E16EF1" w:rsidRDefault="00B104DD" w:rsidP="00B104DD">
      <w:pPr>
        <w:pStyle w:val="1"/>
        <w:rPr>
          <w:lang w:val="ru-RU"/>
        </w:rPr>
      </w:pPr>
      <w:bookmarkStart w:id="11" w:name="_Toc37957637"/>
      <w:r w:rsidRPr="00E05425">
        <w:rPr>
          <w:lang w:val="ru-RU"/>
        </w:rPr>
        <w:lastRenderedPageBreak/>
        <w:t>Оценка Ресурсной Базы</w:t>
      </w:r>
      <w:bookmarkEnd w:id="11"/>
    </w:p>
    <w:tbl>
      <w:tblPr>
        <w:tblStyle w:val="ae"/>
        <w:tblW w:w="0" w:type="auto"/>
        <w:tblInd w:w="170" w:type="dxa"/>
        <w:tblLook w:val="04A0" w:firstRow="1" w:lastRow="0" w:firstColumn="1" w:lastColumn="0" w:noHBand="0" w:noVBand="1"/>
      </w:tblPr>
      <w:tblGrid>
        <w:gridCol w:w="1861"/>
        <w:gridCol w:w="1872"/>
      </w:tblGrid>
      <w:tr w:rsidR="00E57BA6" w:rsidRPr="00E57BA6" w:rsidTr="00E542DA">
        <w:trPr>
          <w:trHeight w:val="620"/>
        </w:trPr>
        <w:tc>
          <w:tcPr>
            <w:tcW w:w="1861" w:type="dxa"/>
            <w:shd w:val="clear" w:color="auto" w:fill="006691"/>
            <w:vAlign w:val="center"/>
          </w:tcPr>
          <w:p w:rsidR="00DD6D07" w:rsidRPr="00E57BA6" w:rsidRDefault="00B104DD" w:rsidP="00F13EF3">
            <w:pPr>
              <w:spacing w:after="200"/>
              <w:rPr>
                <w:b/>
                <w:color w:val="FFFFFF" w:themeColor="background1"/>
                <w:lang w:val="en-US"/>
              </w:rPr>
            </w:pPr>
            <w:r w:rsidRPr="00BB5329">
              <w:rPr>
                <w:b/>
                <w:color w:val="FFFFFF" w:themeColor="background1"/>
                <w:lang w:val="ru-RU"/>
              </w:rPr>
              <w:t>ОРБ</w:t>
            </w:r>
            <w:r w:rsidRPr="00E16EF1">
              <w:rPr>
                <w:b/>
                <w:color w:val="FFFFFF" w:themeColor="background1"/>
                <w:lang w:val="ru-RU"/>
              </w:rPr>
              <w:t xml:space="preserve"> </w:t>
            </w:r>
            <w:r w:rsidRPr="00BB5329">
              <w:rPr>
                <w:b/>
                <w:color w:val="FFFFFF" w:themeColor="background1"/>
                <w:lang w:val="ru-RU"/>
              </w:rPr>
              <w:t>выполнена</w:t>
            </w:r>
          </w:p>
        </w:tc>
        <w:tc>
          <w:tcPr>
            <w:tcW w:w="1872" w:type="dxa"/>
            <w:shd w:val="clear" w:color="auto" w:fill="006691"/>
            <w:vAlign w:val="center"/>
          </w:tcPr>
          <w:p w:rsidR="00DD6D07" w:rsidRPr="00E57BA6" w:rsidRDefault="00B104DD" w:rsidP="00F13EF3">
            <w:pPr>
              <w:spacing w:after="200"/>
              <w:rPr>
                <w:b/>
                <w:color w:val="FFFFFF" w:themeColor="background1"/>
                <w:lang w:val="en-US"/>
              </w:rPr>
            </w:pPr>
            <w:r w:rsidRPr="00BB5329">
              <w:rPr>
                <w:b/>
                <w:color w:val="FFFFFF" w:themeColor="background1"/>
                <w:lang w:val="ru-RU"/>
              </w:rPr>
              <w:t>ОРБ</w:t>
            </w:r>
            <w:r w:rsidRPr="00E16EF1">
              <w:rPr>
                <w:b/>
                <w:color w:val="FFFFFF" w:themeColor="background1"/>
                <w:lang w:val="ru-RU"/>
              </w:rPr>
              <w:t xml:space="preserve"> </w:t>
            </w:r>
            <w:r w:rsidRPr="00BB5329">
              <w:rPr>
                <w:b/>
                <w:color w:val="FFFFFF" w:themeColor="background1"/>
                <w:lang w:val="ru-RU"/>
              </w:rPr>
              <w:t>не</w:t>
            </w:r>
            <w:r w:rsidRPr="00E16EF1">
              <w:rPr>
                <w:b/>
                <w:color w:val="FFFFFF" w:themeColor="background1"/>
                <w:lang w:val="ru-RU"/>
              </w:rPr>
              <w:t xml:space="preserve"> </w:t>
            </w:r>
            <w:r w:rsidRPr="00BB5329">
              <w:rPr>
                <w:b/>
                <w:color w:val="FFFFFF" w:themeColor="background1"/>
                <w:lang w:val="ru-RU"/>
              </w:rPr>
              <w:t>проводилась</w:t>
            </w:r>
          </w:p>
        </w:tc>
      </w:tr>
      <w:tr w:rsidR="00DD6D07" w:rsidRPr="009813C7" w:rsidTr="00400B8F">
        <w:trPr>
          <w:trHeight w:val="710"/>
        </w:trPr>
        <w:tc>
          <w:tcPr>
            <w:tcW w:w="1861" w:type="dxa"/>
            <w:vAlign w:val="center"/>
          </w:tcPr>
          <w:p w:rsidR="00DD6D07" w:rsidRPr="009813C7" w:rsidRDefault="00DD6D07" w:rsidP="00F13EF3">
            <w:pPr>
              <w:spacing w:after="200"/>
              <w:rPr>
                <w:b/>
                <w:lang w:val="en-US"/>
              </w:rPr>
            </w:pPr>
            <w:r w:rsidRPr="009813C7">
              <w:rPr>
                <w:rFonts w:ascii="Menlo Regular" w:hAnsi="Menlo Regular" w:cs="Menlo Regular"/>
                <w:b/>
                <w:lang w:val="en-US"/>
              </w:rPr>
              <w:t>☐</w:t>
            </w:r>
          </w:p>
        </w:tc>
        <w:tc>
          <w:tcPr>
            <w:tcW w:w="1872" w:type="dxa"/>
            <w:vAlign w:val="center"/>
          </w:tcPr>
          <w:p w:rsidR="00DD6D07" w:rsidRPr="009813C7" w:rsidRDefault="008A0E93" w:rsidP="00F13EF3">
            <w:pPr>
              <w:spacing w:after="200"/>
              <w:rPr>
                <w:b/>
                <w:lang w:val="en-US"/>
              </w:rPr>
            </w:pPr>
            <w:r>
              <w:rPr>
                <w:rFonts w:ascii="Menlo Regular" w:hAnsi="Menlo Regular" w:cs="Menlo Regular"/>
                <w:b/>
                <w:lang w:val="en-US"/>
              </w:rPr>
              <w:t>X</w:t>
            </w:r>
          </w:p>
        </w:tc>
      </w:tr>
    </w:tbl>
    <w:p w:rsidR="00DD6D07" w:rsidRDefault="00DD6D07" w:rsidP="00DD6D07"/>
    <w:p w:rsidR="00187F41" w:rsidRPr="00B104DD" w:rsidRDefault="00B104DD" w:rsidP="00DD6D07">
      <w:pPr>
        <w:rPr>
          <w:i/>
          <w:lang w:val="ru-RU"/>
        </w:rPr>
      </w:pPr>
      <w:r w:rsidRPr="00B104DD">
        <w:rPr>
          <w:i/>
          <w:lang w:val="ru-RU"/>
        </w:rPr>
        <w:t xml:space="preserve">Оценка базы поставок не требуется, поскольку несертифицированное сырье не будет использоваться для производства биомассы, соответствующей требованиям </w:t>
      </w:r>
      <w:r w:rsidRPr="00B104DD">
        <w:rPr>
          <w:i/>
        </w:rPr>
        <w:t>SBP</w:t>
      </w:r>
      <w:r w:rsidRPr="00B104DD">
        <w:rPr>
          <w:i/>
          <w:lang w:val="ru-RU"/>
        </w:rPr>
        <w:t xml:space="preserve">. Для производства гранул </w:t>
      </w:r>
      <w:r w:rsidRPr="00B104DD">
        <w:rPr>
          <w:i/>
        </w:rPr>
        <w:t>SBP</w:t>
      </w:r>
      <w:r w:rsidRPr="00B104DD">
        <w:rPr>
          <w:i/>
          <w:lang w:val="ru-RU"/>
        </w:rPr>
        <w:t xml:space="preserve"> планируется использовать только сертифицированное </w:t>
      </w:r>
      <w:r w:rsidRPr="00B104DD">
        <w:rPr>
          <w:i/>
        </w:rPr>
        <w:t>FSC</w:t>
      </w:r>
      <w:r>
        <w:rPr>
          <w:i/>
          <w:lang w:val="ru-RU"/>
        </w:rPr>
        <w:t xml:space="preserve"> сырье</w:t>
      </w:r>
      <w:r w:rsidR="008A0E93" w:rsidRPr="00B104DD">
        <w:rPr>
          <w:i/>
          <w:lang w:val="ru-RU"/>
        </w:rPr>
        <w:t>.</w:t>
      </w:r>
    </w:p>
    <w:p w:rsidR="00B104DD" w:rsidRPr="00E05425" w:rsidRDefault="00B104DD" w:rsidP="00B104DD">
      <w:pPr>
        <w:pStyle w:val="1"/>
      </w:pPr>
      <w:bookmarkStart w:id="12" w:name="_Toc454366461"/>
      <w:r w:rsidRPr="00E05425">
        <w:rPr>
          <w:lang w:val="ru-RU"/>
        </w:rPr>
        <w:lastRenderedPageBreak/>
        <w:t>Оценка ресурсной базы</w:t>
      </w:r>
    </w:p>
    <w:bookmarkEnd w:id="12"/>
    <w:p w:rsidR="00DD6D07" w:rsidRDefault="00B104DD" w:rsidP="00187F41">
      <w:pPr>
        <w:pStyle w:val="2"/>
      </w:pPr>
      <w:proofErr w:type="spellStart"/>
      <w:r>
        <w:t>Область</w:t>
      </w:r>
      <w:proofErr w:type="spellEnd"/>
      <w:r>
        <w:t xml:space="preserve"> </w:t>
      </w:r>
      <w:proofErr w:type="spellStart"/>
      <w:r>
        <w:t>оценки</w:t>
      </w:r>
      <w:proofErr w:type="spellEnd"/>
    </w:p>
    <w:p w:rsidR="00187F41" w:rsidRPr="009813C7" w:rsidRDefault="00B104DD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8A0E93">
        <w:rPr>
          <w:i/>
        </w:rPr>
        <w:t>.</w:t>
      </w:r>
    </w:p>
    <w:p w:rsidR="00187F41" w:rsidRDefault="00B104DD" w:rsidP="00187F41">
      <w:pPr>
        <w:pStyle w:val="2"/>
      </w:pPr>
      <w:r>
        <w:rPr>
          <w:lang w:val="ru-RU"/>
        </w:rPr>
        <w:t>Обоснование</w:t>
      </w:r>
    </w:p>
    <w:p w:rsidR="00187F41" w:rsidRPr="009813C7" w:rsidRDefault="00B104DD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9813C7">
        <w:rPr>
          <w:i/>
        </w:rPr>
        <w:t>.</w:t>
      </w:r>
    </w:p>
    <w:p w:rsidR="00187F41" w:rsidRDefault="00B104DD" w:rsidP="00187F41">
      <w:pPr>
        <w:pStyle w:val="2"/>
      </w:pPr>
      <w:proofErr w:type="spellStart"/>
      <w:r>
        <w:t>Результаты</w:t>
      </w:r>
      <w:proofErr w:type="spellEnd"/>
      <w:r>
        <w:t xml:space="preserve"> </w:t>
      </w:r>
      <w:r>
        <w:rPr>
          <w:lang w:val="ru-RU"/>
        </w:rPr>
        <w:t>оценки рисков</w:t>
      </w:r>
    </w:p>
    <w:p w:rsidR="00187F41" w:rsidRPr="009813C7" w:rsidRDefault="00B104DD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9813C7">
        <w:rPr>
          <w:i/>
        </w:rPr>
        <w:t>.</w:t>
      </w:r>
    </w:p>
    <w:p w:rsidR="00187F41" w:rsidRDefault="00B104DD" w:rsidP="00187F41">
      <w:pPr>
        <w:pStyle w:val="2"/>
      </w:pPr>
      <w:proofErr w:type="spellStart"/>
      <w:r>
        <w:t>Результаты</w:t>
      </w:r>
      <w:proofErr w:type="spellEnd"/>
      <w:r>
        <w:t xml:space="preserve"> </w:t>
      </w:r>
      <w:r>
        <w:rPr>
          <w:lang w:val="ru-RU"/>
        </w:rPr>
        <w:t>Программы Проверки Поставщиков</w:t>
      </w:r>
    </w:p>
    <w:p w:rsidR="00187F41" w:rsidRPr="009813C7" w:rsidRDefault="00B104DD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9813C7">
        <w:rPr>
          <w:i/>
        </w:rPr>
        <w:t>.</w:t>
      </w:r>
    </w:p>
    <w:p w:rsidR="00187F41" w:rsidRDefault="00B104DD" w:rsidP="00187F41">
      <w:pPr>
        <w:pStyle w:val="2"/>
      </w:pPr>
      <w:proofErr w:type="spellStart"/>
      <w:r>
        <w:t>Выводы</w:t>
      </w:r>
      <w:proofErr w:type="spellEnd"/>
      <w:r>
        <w:t xml:space="preserve"> </w:t>
      </w:r>
    </w:p>
    <w:p w:rsidR="00187F41" w:rsidRPr="00B104DD" w:rsidRDefault="00B104DD" w:rsidP="00187F41">
      <w:pPr>
        <w:rPr>
          <w:i/>
          <w:lang w:val="ru-RU"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>
        <w:rPr>
          <w:i/>
          <w:lang w:val="ru-RU"/>
        </w:rPr>
        <w:t>.</w:t>
      </w:r>
    </w:p>
    <w:p w:rsidR="00187F41" w:rsidRDefault="00187F41" w:rsidP="00187F41">
      <w:pPr>
        <w:spacing w:line="276" w:lineRule="auto"/>
        <w:rPr>
          <w:rFonts w:asciiTheme="majorHAnsi" w:eastAsiaTheme="majorEastAsia" w:hAnsiTheme="majorHAnsi" w:cstheme="majorBidi"/>
          <w:bCs/>
          <w:iCs/>
          <w:color w:val="8AB059"/>
          <w:sz w:val="28"/>
          <w:szCs w:val="28"/>
        </w:rPr>
      </w:pPr>
      <w:r>
        <w:br w:type="page"/>
      </w:r>
    </w:p>
    <w:p w:rsidR="00187F41" w:rsidRDefault="00B104DD" w:rsidP="00187F41">
      <w:pPr>
        <w:pStyle w:val="1"/>
      </w:pPr>
      <w:proofErr w:type="spellStart"/>
      <w:r>
        <w:lastRenderedPageBreak/>
        <w:t>Процесс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Ресурсной</w:t>
      </w:r>
      <w:proofErr w:type="spellEnd"/>
      <w:r>
        <w:t xml:space="preserve"> </w:t>
      </w:r>
      <w:proofErr w:type="spellStart"/>
      <w:r>
        <w:t>Базы</w:t>
      </w:r>
      <w:proofErr w:type="spellEnd"/>
    </w:p>
    <w:p w:rsidR="00187F41" w:rsidRPr="00B165D0" w:rsidRDefault="00B104DD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r w:rsidR="00D96395">
        <w:rPr>
          <w:i/>
          <w:lang w:val="ru-RU"/>
        </w:rPr>
        <w:t>применимо</w:t>
      </w:r>
      <w:r w:rsidR="00187F41" w:rsidRPr="00B165D0">
        <w:rPr>
          <w:i/>
        </w:rPr>
        <w:t>.</w:t>
      </w:r>
    </w:p>
    <w:p w:rsidR="00187F41" w:rsidRDefault="00187F41" w:rsidP="00187F41">
      <w:pPr>
        <w:pStyle w:val="1"/>
      </w:pPr>
      <w:r>
        <w:lastRenderedPageBreak/>
        <w:t xml:space="preserve"> </w:t>
      </w:r>
      <w:bookmarkStart w:id="13" w:name="_Toc37957645"/>
      <w:r w:rsidR="00D96395" w:rsidRPr="00E05425">
        <w:rPr>
          <w:lang w:val="ru-RU"/>
        </w:rPr>
        <w:t>Консультации заинтересованных сторон</w:t>
      </w:r>
      <w:bookmarkEnd w:id="13"/>
    </w:p>
    <w:p w:rsidR="00187F41" w:rsidRPr="00B165D0" w:rsidRDefault="00D96395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B165D0">
        <w:rPr>
          <w:i/>
        </w:rPr>
        <w:t>.</w:t>
      </w:r>
    </w:p>
    <w:p w:rsidR="00187F41" w:rsidRDefault="00D96395" w:rsidP="00187F41">
      <w:pPr>
        <w:pStyle w:val="2"/>
      </w:pPr>
      <w:proofErr w:type="spellStart"/>
      <w:r>
        <w:t>Ответ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комментарии</w:t>
      </w:r>
      <w:proofErr w:type="spellEnd"/>
      <w:r>
        <w:t xml:space="preserve"> </w:t>
      </w:r>
      <w:proofErr w:type="spellStart"/>
      <w:r>
        <w:t>заинтересованных</w:t>
      </w:r>
      <w:proofErr w:type="spellEnd"/>
      <w:r>
        <w:t xml:space="preserve"> </w:t>
      </w:r>
      <w:proofErr w:type="spellStart"/>
      <w:r>
        <w:t>сторон</w:t>
      </w:r>
      <w:proofErr w:type="spellEnd"/>
    </w:p>
    <w:p w:rsidR="00187F41" w:rsidRPr="00B165D0" w:rsidRDefault="00D96395" w:rsidP="00187F41">
      <w:pPr>
        <w:rPr>
          <w:i/>
        </w:rPr>
      </w:pPr>
      <w:r>
        <w:rPr>
          <w:i/>
          <w:lang w:val="ru-RU"/>
        </w:rPr>
        <w:t>Не применимо</w:t>
      </w:r>
      <w:r w:rsidR="008A0E93">
        <w:rPr>
          <w:i/>
        </w:rPr>
        <w:t>.</w:t>
      </w:r>
    </w:p>
    <w:p w:rsidR="00187F41" w:rsidRDefault="00187F41" w:rsidP="00187F41">
      <w:pPr>
        <w:pStyle w:val="1"/>
      </w:pPr>
      <w:bookmarkStart w:id="14" w:name="_Toc412646211"/>
      <w:bookmarkStart w:id="15" w:name="_Toc454366469"/>
      <w:proofErr w:type="spellStart"/>
      <w:r>
        <w:lastRenderedPageBreak/>
        <w:t>O</w:t>
      </w:r>
      <w:bookmarkEnd w:id="14"/>
      <w:bookmarkEnd w:id="15"/>
      <w:r w:rsidR="00D96395">
        <w:t>бзор</w:t>
      </w:r>
      <w:proofErr w:type="spellEnd"/>
      <w:r w:rsidR="00D96395">
        <w:t xml:space="preserve"> </w:t>
      </w:r>
      <w:proofErr w:type="spellStart"/>
      <w:r w:rsidR="00D96395">
        <w:t>первоночальной</w:t>
      </w:r>
      <w:proofErr w:type="spellEnd"/>
      <w:r w:rsidR="00D96395">
        <w:t xml:space="preserve"> </w:t>
      </w:r>
      <w:proofErr w:type="spellStart"/>
      <w:r w:rsidR="00D96395">
        <w:t>оценки</w:t>
      </w:r>
      <w:proofErr w:type="spellEnd"/>
      <w:r w:rsidR="00D96395">
        <w:t xml:space="preserve"> </w:t>
      </w:r>
      <w:proofErr w:type="spellStart"/>
      <w:r w:rsidR="00D96395">
        <w:t>рисков</w:t>
      </w:r>
      <w:proofErr w:type="spellEnd"/>
    </w:p>
    <w:p w:rsidR="00187F41" w:rsidRDefault="00D96395" w:rsidP="00187F41"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8A0E93">
        <w:rPr>
          <w:i/>
        </w:rPr>
        <w:t>.</w:t>
      </w:r>
    </w:p>
    <w:p w:rsidR="00187F41" w:rsidRDefault="00D96395" w:rsidP="00187F41">
      <w:pPr>
        <w:pStyle w:val="1"/>
      </w:pPr>
      <w:proofErr w:type="spellStart"/>
      <w:r>
        <w:lastRenderedPageBreak/>
        <w:t>Программа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Поставщико</w:t>
      </w:r>
      <w:proofErr w:type="spellEnd"/>
      <w:r>
        <w:rPr>
          <w:lang w:val="ru-RU"/>
        </w:rPr>
        <w:t>в</w:t>
      </w:r>
    </w:p>
    <w:p w:rsidR="00187F41" w:rsidRDefault="00D96395" w:rsidP="00187F41">
      <w:pPr>
        <w:pStyle w:val="2"/>
      </w:pPr>
      <w:proofErr w:type="spellStart"/>
      <w:r>
        <w:t>Описание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</w:t>
      </w:r>
      <w:proofErr w:type="spellStart"/>
      <w:r>
        <w:t>Поставщиков</w:t>
      </w:r>
      <w:proofErr w:type="spellEnd"/>
    </w:p>
    <w:p w:rsidR="00187F41" w:rsidRPr="00781DCB" w:rsidRDefault="00D96395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781DCB">
        <w:rPr>
          <w:i/>
        </w:rPr>
        <w:t>.</w:t>
      </w:r>
    </w:p>
    <w:p w:rsidR="00187F41" w:rsidRDefault="00D96395" w:rsidP="00187F41">
      <w:pPr>
        <w:pStyle w:val="2"/>
      </w:pPr>
      <w:r>
        <w:rPr>
          <w:lang w:val="ru-RU"/>
        </w:rPr>
        <w:t>Посещение площадок</w:t>
      </w:r>
    </w:p>
    <w:p w:rsidR="00187F41" w:rsidRPr="00781DCB" w:rsidRDefault="00D96395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781DCB">
        <w:rPr>
          <w:i/>
        </w:rPr>
        <w:t>.</w:t>
      </w:r>
    </w:p>
    <w:p w:rsidR="00187F41" w:rsidRDefault="00D96395" w:rsidP="00187F41">
      <w:pPr>
        <w:pStyle w:val="2"/>
      </w:pPr>
      <w:proofErr w:type="spellStart"/>
      <w:r>
        <w:t>Выводы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  <w:proofErr w:type="spellStart"/>
      <w:r>
        <w:t>Проверки</w:t>
      </w:r>
      <w:proofErr w:type="spellEnd"/>
      <w:r>
        <w:t xml:space="preserve"> П</w:t>
      </w:r>
      <w:r>
        <w:rPr>
          <w:lang w:val="ru-RU"/>
        </w:rPr>
        <w:t>о</w:t>
      </w:r>
      <w:proofErr w:type="spellStart"/>
      <w:r>
        <w:t>ставщиков</w:t>
      </w:r>
      <w:proofErr w:type="spellEnd"/>
    </w:p>
    <w:p w:rsidR="00187F41" w:rsidRDefault="00D96395" w:rsidP="00187F41"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принемимо</w:t>
      </w:r>
      <w:proofErr w:type="spellEnd"/>
      <w:r w:rsidR="00187F41">
        <w:rPr>
          <w:i/>
        </w:rPr>
        <w:t>.</w:t>
      </w:r>
      <w:r w:rsidR="00187F41" w:rsidRPr="00781DCB" w:rsidDel="00914DF8">
        <w:rPr>
          <w:i/>
        </w:rPr>
        <w:t xml:space="preserve"> </w:t>
      </w:r>
    </w:p>
    <w:p w:rsidR="00187F41" w:rsidRDefault="00187F41" w:rsidP="00187F41">
      <w:pPr>
        <w:pStyle w:val="1"/>
      </w:pPr>
      <w:bookmarkStart w:id="16" w:name="_Toc412646216"/>
      <w:bookmarkStart w:id="17" w:name="_Toc454366474"/>
      <w:proofErr w:type="spellStart"/>
      <w:r>
        <w:lastRenderedPageBreak/>
        <w:t>M</w:t>
      </w:r>
      <w:bookmarkEnd w:id="16"/>
      <w:bookmarkEnd w:id="17"/>
      <w:r w:rsidR="00D96395">
        <w:t>еры</w:t>
      </w:r>
      <w:proofErr w:type="spellEnd"/>
      <w:r w:rsidR="00D96395">
        <w:t xml:space="preserve"> </w:t>
      </w:r>
      <w:proofErr w:type="spellStart"/>
      <w:r w:rsidR="00D96395">
        <w:t>по</w:t>
      </w:r>
      <w:proofErr w:type="spellEnd"/>
      <w:r w:rsidR="00D96395">
        <w:t xml:space="preserve"> </w:t>
      </w:r>
      <w:proofErr w:type="spellStart"/>
      <w:r w:rsidR="00D96395">
        <w:t>снижению</w:t>
      </w:r>
      <w:proofErr w:type="spellEnd"/>
      <w:r w:rsidR="00D96395">
        <w:t xml:space="preserve"> </w:t>
      </w:r>
      <w:proofErr w:type="spellStart"/>
      <w:r w:rsidR="00D96395">
        <w:t>уровня</w:t>
      </w:r>
      <w:proofErr w:type="spellEnd"/>
      <w:r w:rsidR="00D96395">
        <w:t xml:space="preserve"> </w:t>
      </w:r>
      <w:proofErr w:type="spellStart"/>
      <w:r w:rsidR="00D96395">
        <w:t>риска</w:t>
      </w:r>
      <w:proofErr w:type="spellEnd"/>
    </w:p>
    <w:p w:rsidR="00187F41" w:rsidRDefault="00187F41" w:rsidP="00187F41">
      <w:pPr>
        <w:pStyle w:val="2"/>
      </w:pPr>
      <w:bookmarkStart w:id="18" w:name="_Toc412646217"/>
      <w:bookmarkStart w:id="19" w:name="_Toc454366475"/>
      <w:proofErr w:type="spellStart"/>
      <w:r>
        <w:t>M</w:t>
      </w:r>
      <w:bookmarkEnd w:id="18"/>
      <w:bookmarkEnd w:id="19"/>
      <w:r w:rsidR="00D96395">
        <w:t>еры</w:t>
      </w:r>
      <w:proofErr w:type="spellEnd"/>
      <w:r w:rsidR="00D96395">
        <w:t xml:space="preserve"> </w:t>
      </w:r>
      <w:proofErr w:type="spellStart"/>
      <w:r w:rsidR="00D96395">
        <w:t>по</w:t>
      </w:r>
      <w:proofErr w:type="spellEnd"/>
      <w:r w:rsidR="00D96395">
        <w:t xml:space="preserve"> </w:t>
      </w:r>
      <w:proofErr w:type="spellStart"/>
      <w:r w:rsidR="00D96395">
        <w:t>снижению</w:t>
      </w:r>
      <w:proofErr w:type="spellEnd"/>
      <w:r w:rsidR="00D96395">
        <w:t xml:space="preserve"> </w:t>
      </w:r>
      <w:proofErr w:type="spellStart"/>
      <w:r w:rsidR="00D96395">
        <w:t>уровня</w:t>
      </w:r>
      <w:proofErr w:type="spellEnd"/>
      <w:r w:rsidR="00D96395">
        <w:t xml:space="preserve"> </w:t>
      </w:r>
      <w:proofErr w:type="spellStart"/>
      <w:r w:rsidR="00D96395">
        <w:t>риска</w:t>
      </w:r>
      <w:proofErr w:type="spellEnd"/>
    </w:p>
    <w:p w:rsidR="00187F41" w:rsidRPr="00B42DC1" w:rsidRDefault="00D96395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B42DC1">
        <w:rPr>
          <w:i/>
        </w:rPr>
        <w:t>.</w:t>
      </w:r>
    </w:p>
    <w:p w:rsidR="00187F41" w:rsidRDefault="00D96395" w:rsidP="00187F41">
      <w:pPr>
        <w:pStyle w:val="2"/>
      </w:pPr>
      <w:proofErr w:type="spellStart"/>
      <w:r>
        <w:t>Мониторинг</w:t>
      </w:r>
      <w:proofErr w:type="spellEnd"/>
      <w:r>
        <w:t xml:space="preserve"> и </w:t>
      </w:r>
      <w:proofErr w:type="spellStart"/>
      <w:r>
        <w:t>результаты</w:t>
      </w:r>
      <w:proofErr w:type="spellEnd"/>
    </w:p>
    <w:p w:rsidR="00187F41" w:rsidRDefault="00D96395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F45D4A">
        <w:rPr>
          <w:i/>
        </w:rPr>
        <w:t>.</w:t>
      </w:r>
    </w:p>
    <w:p w:rsidR="00187F41" w:rsidRDefault="00D96395" w:rsidP="00187F41">
      <w:pPr>
        <w:pStyle w:val="1"/>
      </w:pPr>
      <w:proofErr w:type="spellStart"/>
      <w:r>
        <w:lastRenderedPageBreak/>
        <w:t>Детальные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индикаторам</w:t>
      </w:r>
      <w:proofErr w:type="spellEnd"/>
    </w:p>
    <w:p w:rsidR="00187F41" w:rsidRDefault="00D96395" w:rsidP="00187F41"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F45D4A">
        <w:t>.</w:t>
      </w:r>
    </w:p>
    <w:p w:rsidR="00187F41" w:rsidRDefault="00187F41" w:rsidP="00187F41">
      <w:pPr>
        <w:spacing w:line="276" w:lineRule="auto"/>
      </w:pPr>
      <w:r>
        <w:br w:type="page"/>
      </w:r>
    </w:p>
    <w:p w:rsidR="00187F41" w:rsidRDefault="00D96395" w:rsidP="00187F41">
      <w:pPr>
        <w:pStyle w:val="1"/>
      </w:pPr>
      <w:proofErr w:type="spellStart"/>
      <w:r>
        <w:lastRenderedPageBreak/>
        <w:t>Рецензия</w:t>
      </w:r>
      <w:proofErr w:type="spellEnd"/>
      <w:r>
        <w:t xml:space="preserve"> </w:t>
      </w:r>
      <w:proofErr w:type="spellStart"/>
      <w:r>
        <w:t>отчета</w:t>
      </w:r>
      <w:proofErr w:type="spellEnd"/>
    </w:p>
    <w:p w:rsidR="00187F41" w:rsidRDefault="00D96395" w:rsidP="00187F41">
      <w:pPr>
        <w:pStyle w:val="2"/>
      </w:pPr>
      <w:proofErr w:type="spellStart"/>
      <w:r>
        <w:t>Экспертная</w:t>
      </w:r>
      <w:proofErr w:type="spellEnd"/>
      <w:r>
        <w:t xml:space="preserve"> </w:t>
      </w:r>
      <w:proofErr w:type="spellStart"/>
      <w:r>
        <w:t>оценка</w:t>
      </w:r>
      <w:proofErr w:type="spellEnd"/>
    </w:p>
    <w:p w:rsidR="00187F41" w:rsidRPr="00D96395" w:rsidRDefault="00D96395" w:rsidP="00187F41">
      <w:pPr>
        <w:rPr>
          <w:i/>
          <w:lang w:val="ru-RU"/>
        </w:rPr>
      </w:pPr>
      <w:r w:rsidRPr="00D96395">
        <w:rPr>
          <w:i/>
          <w:lang w:val="ru-RU"/>
        </w:rPr>
        <w:t>Отсутствие экспертной оценки в 2020 году</w:t>
      </w:r>
      <w:r w:rsidR="00187F41" w:rsidRPr="00D96395">
        <w:rPr>
          <w:i/>
          <w:lang w:val="ru-RU"/>
        </w:rPr>
        <w:t>.</w:t>
      </w:r>
    </w:p>
    <w:p w:rsidR="00187F41" w:rsidRDefault="00D96395" w:rsidP="00187F41">
      <w:pPr>
        <w:pStyle w:val="2"/>
      </w:pPr>
      <w:proofErr w:type="spellStart"/>
      <w:r>
        <w:t>Общественная</w:t>
      </w:r>
      <w:proofErr w:type="spellEnd"/>
      <w:r>
        <w:t xml:space="preserve"> и </w:t>
      </w: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оценка</w:t>
      </w:r>
      <w:proofErr w:type="spellEnd"/>
      <w:r w:rsidR="00187F41">
        <w:t xml:space="preserve"> </w:t>
      </w:r>
    </w:p>
    <w:p w:rsidR="00187F41" w:rsidRPr="00D96395" w:rsidRDefault="00D96395" w:rsidP="00187F41">
      <w:pPr>
        <w:rPr>
          <w:i/>
          <w:lang w:val="ru-RU"/>
        </w:rPr>
      </w:pPr>
      <w:r w:rsidRPr="00D96395">
        <w:rPr>
          <w:i/>
          <w:lang w:val="ru-RU"/>
        </w:rPr>
        <w:t xml:space="preserve">Базовый доклад поставка доступна на сайте ООО </w:t>
      </w:r>
      <w:proofErr w:type="spellStart"/>
      <w:r w:rsidRPr="00D96395">
        <w:rPr>
          <w:i/>
        </w:rPr>
        <w:t>Fanpro</w:t>
      </w:r>
      <w:proofErr w:type="spellEnd"/>
      <w:r w:rsidRPr="00D96395">
        <w:rPr>
          <w:i/>
          <w:lang w:val="ru-RU"/>
        </w:rPr>
        <w:t xml:space="preserve">. Все заинтересованные лица могут отправить свои комментарии Наталье Викторовне Мельниковой, менеджеру СБП, по электронной почте </w:t>
      </w:r>
      <w:r w:rsidRPr="00D96395">
        <w:rPr>
          <w:i/>
        </w:rPr>
        <w:t>n</w:t>
      </w:r>
      <w:r w:rsidRPr="00D96395">
        <w:rPr>
          <w:i/>
          <w:lang w:val="ru-RU"/>
        </w:rPr>
        <w:t>.</w:t>
      </w:r>
      <w:proofErr w:type="spellStart"/>
      <w:r w:rsidRPr="00D96395">
        <w:rPr>
          <w:i/>
        </w:rPr>
        <w:t>melnikova</w:t>
      </w:r>
      <w:proofErr w:type="spellEnd"/>
      <w:r w:rsidRPr="00D96395">
        <w:rPr>
          <w:i/>
          <w:lang w:val="ru-RU"/>
        </w:rPr>
        <w:t>@</w:t>
      </w:r>
      <w:proofErr w:type="spellStart"/>
      <w:r w:rsidRPr="00D96395">
        <w:rPr>
          <w:i/>
        </w:rPr>
        <w:t>starwoodnn</w:t>
      </w:r>
      <w:proofErr w:type="spellEnd"/>
      <w:r w:rsidRPr="00D96395">
        <w:rPr>
          <w:i/>
          <w:lang w:val="ru-RU"/>
        </w:rPr>
        <w:t>.</w:t>
      </w:r>
      <w:r w:rsidRPr="00D96395">
        <w:rPr>
          <w:i/>
        </w:rPr>
        <w:t>com</w:t>
      </w:r>
      <w:r w:rsidRPr="00D96395">
        <w:rPr>
          <w:i/>
          <w:lang w:val="ru-RU"/>
        </w:rPr>
        <w:t>. Все замечания будут приняты во внимание</w:t>
      </w:r>
      <w:r w:rsidR="008A0E93" w:rsidRPr="00D96395">
        <w:rPr>
          <w:i/>
          <w:lang w:val="ru-RU"/>
        </w:rPr>
        <w:t>.</w:t>
      </w:r>
    </w:p>
    <w:p w:rsidR="00187F41" w:rsidRDefault="00D96395" w:rsidP="00187F41">
      <w:pPr>
        <w:pStyle w:val="1"/>
      </w:pPr>
      <w:proofErr w:type="spellStart"/>
      <w:r>
        <w:lastRenderedPageBreak/>
        <w:t>Утверждение</w:t>
      </w:r>
      <w:proofErr w:type="spellEnd"/>
      <w:r>
        <w:t xml:space="preserve"> </w:t>
      </w:r>
      <w:proofErr w:type="spellStart"/>
      <w:r>
        <w:t>отчета</w:t>
      </w:r>
      <w:proofErr w:type="spellEnd"/>
      <w: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61"/>
        <w:gridCol w:w="3656"/>
        <w:gridCol w:w="2711"/>
        <w:gridCol w:w="1700"/>
      </w:tblGrid>
      <w:tr w:rsidR="00E57BA6" w:rsidRPr="00D96395" w:rsidTr="00E57BA6">
        <w:trPr>
          <w:trHeight w:val="647"/>
        </w:trPr>
        <w:tc>
          <w:tcPr>
            <w:tcW w:w="9576" w:type="dxa"/>
            <w:gridSpan w:val="4"/>
            <w:shd w:val="clear" w:color="auto" w:fill="006691"/>
            <w:vAlign w:val="center"/>
          </w:tcPr>
          <w:p w:rsidR="00187F41" w:rsidRPr="00D96395" w:rsidRDefault="00D96395" w:rsidP="00F13EF3">
            <w:pPr>
              <w:spacing w:before="120" w:line="240" w:lineRule="auto"/>
              <w:rPr>
                <w:b/>
                <w:color w:val="FFFFFF" w:themeColor="background1"/>
                <w:lang w:val="ru-RU"/>
              </w:rPr>
            </w:pPr>
            <w:r w:rsidRPr="00843E99">
              <w:rPr>
                <w:b/>
                <w:color w:val="FFFFFF" w:themeColor="background1"/>
                <w:lang w:val="ru-RU"/>
              </w:rPr>
              <w:t>Утверждение Отчета о ресурсной базе высшим руководством</w:t>
            </w:r>
          </w:p>
        </w:tc>
      </w:tr>
      <w:tr w:rsidR="00187F41" w:rsidRPr="00F45D4A" w:rsidTr="00943B6A">
        <w:trPr>
          <w:trHeight w:val="1052"/>
        </w:trPr>
        <w:tc>
          <w:tcPr>
            <w:tcW w:w="1278" w:type="dxa"/>
            <w:vMerge w:val="restart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r w:rsidRPr="00241E2B">
              <w:rPr>
                <w:b/>
                <w:lang w:val="ru-RU"/>
              </w:rPr>
              <w:t>Отчет подготовлен: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A0E93" w:rsidRDefault="00D96395" w:rsidP="008A0E93">
            <w:pPr>
              <w:spacing w:before="120" w:line="240" w:lineRule="auto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Наталья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Викторовна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Мельникова</w:t>
            </w:r>
            <w:proofErr w:type="spellEnd"/>
          </w:p>
          <w:p w:rsidR="00A6763E" w:rsidRDefault="00A6763E" w:rsidP="008A0E93">
            <w:pPr>
              <w:spacing w:before="120" w:line="240" w:lineRule="auto"/>
              <w:rPr>
                <w:b/>
                <w:i/>
                <w:lang w:val="en-US"/>
              </w:rPr>
            </w:pPr>
          </w:p>
          <w:p w:rsidR="00A6763E" w:rsidRDefault="00A6763E" w:rsidP="008A0E93">
            <w:pPr>
              <w:spacing w:before="120" w:line="240" w:lineRule="auto"/>
              <w:rPr>
                <w:b/>
                <w:i/>
                <w:lang w:val="en-US"/>
              </w:rPr>
            </w:pPr>
          </w:p>
          <w:p w:rsidR="008A0E93" w:rsidRPr="00F45D4A" w:rsidRDefault="008A0E93" w:rsidP="008A0E93">
            <w:pPr>
              <w:spacing w:before="120" w:line="240" w:lineRule="auto"/>
              <w:rPr>
                <w:b/>
                <w:i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SBP </w:t>
            </w:r>
            <w:proofErr w:type="spellStart"/>
            <w:r>
              <w:rPr>
                <w:b/>
                <w:i/>
                <w:lang w:val="en-US"/>
              </w:rPr>
              <w:t>менеждер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187F41" w:rsidRPr="00F45D4A" w:rsidRDefault="00E24D47" w:rsidP="00E24D47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</w:t>
            </w:r>
            <w:r w:rsidR="008A0E93">
              <w:rPr>
                <w:b/>
                <w:i/>
              </w:rPr>
              <w:t>/</w:t>
            </w:r>
            <w:r>
              <w:rPr>
                <w:b/>
                <w:i/>
              </w:rPr>
              <w:t>08</w:t>
            </w:r>
            <w:r w:rsidR="008A0E93">
              <w:rPr>
                <w:b/>
                <w:i/>
              </w:rPr>
              <w:t>/2020</w:t>
            </w:r>
          </w:p>
        </w:tc>
      </w:tr>
      <w:tr w:rsidR="00187F41" w:rsidRPr="00F45D4A" w:rsidTr="00943B6A">
        <w:trPr>
          <w:trHeight w:val="413"/>
        </w:trPr>
        <w:tc>
          <w:tcPr>
            <w:tcW w:w="1278" w:type="dxa"/>
            <w:vMerge/>
            <w:shd w:val="clear" w:color="auto" w:fill="F2F1F1"/>
            <w:vAlign w:val="center"/>
          </w:tcPr>
          <w:p w:rsidR="00187F41" w:rsidRPr="00F45D4A" w:rsidRDefault="00187F41" w:rsidP="00F13EF3">
            <w:pPr>
              <w:spacing w:after="200"/>
              <w:rPr>
                <w:b/>
                <w:lang w:val="en-US"/>
              </w:rPr>
            </w:pPr>
          </w:p>
        </w:tc>
        <w:tc>
          <w:tcPr>
            <w:tcW w:w="3780" w:type="dxa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Имя</w:t>
            </w:r>
            <w:proofErr w:type="spellEnd"/>
          </w:p>
        </w:tc>
        <w:tc>
          <w:tcPr>
            <w:tcW w:w="2790" w:type="dxa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1728" w:type="dxa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Дата</w:t>
            </w:r>
            <w:proofErr w:type="spellEnd"/>
          </w:p>
        </w:tc>
      </w:tr>
      <w:tr w:rsidR="00187F41" w:rsidRPr="00D96395" w:rsidTr="00943B6A">
        <w:trPr>
          <w:trHeight w:val="647"/>
        </w:trPr>
        <w:tc>
          <w:tcPr>
            <w:tcW w:w="9576" w:type="dxa"/>
            <w:gridSpan w:val="4"/>
            <w:shd w:val="clear" w:color="auto" w:fill="F2F1F1"/>
            <w:vAlign w:val="center"/>
          </w:tcPr>
          <w:p w:rsidR="00187F41" w:rsidRPr="00D96395" w:rsidRDefault="00D96395" w:rsidP="00F13EF3">
            <w:pPr>
              <w:spacing w:before="120" w:after="120" w:line="240" w:lineRule="auto"/>
              <w:rPr>
                <w:b/>
                <w:lang w:val="ru-RU"/>
              </w:rPr>
            </w:pPr>
            <w:r w:rsidRPr="00843E99">
              <w:rPr>
                <w:b/>
                <w:lang w:val="ru-RU"/>
              </w:rPr>
              <w:t>Нижеподписавшиеся лица подтверждают, что я / мы являемся членами высшего руководства организации и подтверждаем, что содержание этого Отчета перед его утверждением и окончательным завершением было признано высшим руководством как точное.</w:t>
            </w:r>
          </w:p>
        </w:tc>
      </w:tr>
      <w:tr w:rsidR="00187F41" w:rsidRPr="00F45D4A" w:rsidTr="00943B6A">
        <w:trPr>
          <w:trHeight w:val="1178"/>
        </w:trPr>
        <w:tc>
          <w:tcPr>
            <w:tcW w:w="1278" w:type="dxa"/>
            <w:vMerge w:val="restart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Отчет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утвержден</w:t>
            </w:r>
            <w:proofErr w:type="spellEnd"/>
            <w:r w:rsidR="00187F41" w:rsidRPr="00F45D4A">
              <w:rPr>
                <w:b/>
                <w:lang w:val="en-US"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A0E93" w:rsidRDefault="008A0E93" w:rsidP="00E24D47">
            <w:pPr>
              <w:spacing w:before="120" w:line="240" w:lineRule="auto"/>
              <w:rPr>
                <w:b/>
                <w:i/>
                <w:highlight w:val="yellow"/>
                <w:lang w:val="en-US"/>
              </w:rPr>
            </w:pPr>
          </w:p>
          <w:p w:rsidR="00A6763E" w:rsidRDefault="00D96395" w:rsidP="00E24D47">
            <w:pPr>
              <w:spacing w:before="120" w:line="240" w:lineRule="auto"/>
              <w:rPr>
                <w:b/>
                <w:i/>
                <w:highlight w:val="yellow"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Головина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Eлена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Сергеевна</w:t>
            </w:r>
            <w:proofErr w:type="spellEnd"/>
          </w:p>
          <w:p w:rsidR="00FF0859" w:rsidRDefault="00FF0859" w:rsidP="00E24D47">
            <w:pPr>
              <w:spacing w:before="120" w:line="240" w:lineRule="auto"/>
              <w:rPr>
                <w:b/>
                <w:i/>
                <w:highlight w:val="yellow"/>
                <w:lang w:val="en-US"/>
              </w:rPr>
            </w:pPr>
          </w:p>
          <w:p w:rsidR="00FF0859" w:rsidRPr="00FF0859" w:rsidRDefault="00FF0859" w:rsidP="00E24D47">
            <w:pPr>
              <w:spacing w:before="120" w:line="240" w:lineRule="auto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187F41" w:rsidRPr="00FF0859" w:rsidRDefault="00D96395" w:rsidP="00F13EF3">
            <w:pPr>
              <w:spacing w:before="120" w:line="240" w:lineRule="auto"/>
              <w:rPr>
                <w:b/>
                <w:i/>
                <w:highlight w:val="yellow"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Директор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187F41" w:rsidRPr="00F45D4A" w:rsidRDefault="00E24D47" w:rsidP="00E24D47">
            <w:pPr>
              <w:spacing w:before="12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</w:t>
            </w:r>
            <w:r w:rsidR="008A0E93">
              <w:rPr>
                <w:b/>
                <w:i/>
              </w:rPr>
              <w:t>/</w:t>
            </w:r>
            <w:r>
              <w:rPr>
                <w:b/>
                <w:i/>
              </w:rPr>
              <w:t>08</w:t>
            </w:r>
            <w:r w:rsidR="008A0E93">
              <w:rPr>
                <w:b/>
                <w:i/>
              </w:rPr>
              <w:t>/2020</w:t>
            </w:r>
          </w:p>
        </w:tc>
      </w:tr>
      <w:tr w:rsidR="00187F41" w:rsidRPr="00F45D4A" w:rsidTr="00D96395">
        <w:trPr>
          <w:trHeight w:val="339"/>
        </w:trPr>
        <w:tc>
          <w:tcPr>
            <w:tcW w:w="1278" w:type="dxa"/>
            <w:vMerge/>
            <w:shd w:val="clear" w:color="auto" w:fill="F2F1F1"/>
            <w:vAlign w:val="center"/>
          </w:tcPr>
          <w:p w:rsidR="00187F41" w:rsidRPr="00F45D4A" w:rsidRDefault="00187F41" w:rsidP="00F13EF3">
            <w:pPr>
              <w:spacing w:before="120" w:line="240" w:lineRule="auto"/>
              <w:rPr>
                <w:b/>
                <w:lang w:val="en-US"/>
              </w:rPr>
            </w:pPr>
          </w:p>
        </w:tc>
        <w:tc>
          <w:tcPr>
            <w:tcW w:w="3780" w:type="dxa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Имя</w:t>
            </w:r>
            <w:proofErr w:type="spellEnd"/>
          </w:p>
        </w:tc>
        <w:tc>
          <w:tcPr>
            <w:tcW w:w="2790" w:type="dxa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Должность</w:t>
            </w:r>
            <w:proofErr w:type="spellEnd"/>
          </w:p>
        </w:tc>
        <w:tc>
          <w:tcPr>
            <w:tcW w:w="1728" w:type="dxa"/>
            <w:shd w:val="clear" w:color="auto" w:fill="F2F1F1"/>
            <w:vAlign w:val="center"/>
          </w:tcPr>
          <w:p w:rsidR="00187F41" w:rsidRPr="00F45D4A" w:rsidRDefault="00D96395" w:rsidP="00F13EF3">
            <w:pPr>
              <w:spacing w:before="120" w:line="240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Дата</w:t>
            </w:r>
            <w:proofErr w:type="spellEnd"/>
          </w:p>
        </w:tc>
      </w:tr>
    </w:tbl>
    <w:p w:rsidR="00187F41" w:rsidRDefault="00187F41" w:rsidP="00187F41"/>
    <w:p w:rsidR="00187F41" w:rsidRDefault="00D96395" w:rsidP="00187F41">
      <w:pPr>
        <w:pStyle w:val="1"/>
      </w:pPr>
      <w:proofErr w:type="spellStart"/>
      <w:r>
        <w:lastRenderedPageBreak/>
        <w:t>Обновления</w:t>
      </w:r>
      <w:proofErr w:type="spellEnd"/>
    </w:p>
    <w:p w:rsidR="00187F41" w:rsidRDefault="00D96395" w:rsidP="00187F41">
      <w:pPr>
        <w:pStyle w:val="2"/>
      </w:pPr>
      <w:proofErr w:type="spellStart"/>
      <w:r>
        <w:t>Значительные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в </w:t>
      </w:r>
      <w:proofErr w:type="spellStart"/>
      <w:r>
        <w:t>ресурсной</w:t>
      </w:r>
      <w:proofErr w:type="spellEnd"/>
      <w:r>
        <w:t xml:space="preserve"> </w:t>
      </w:r>
      <w:proofErr w:type="spellStart"/>
      <w:r>
        <w:t>базе</w:t>
      </w:r>
      <w:proofErr w:type="spellEnd"/>
    </w:p>
    <w:p w:rsidR="00187F41" w:rsidRPr="00D96395" w:rsidRDefault="00D96395" w:rsidP="00187F41">
      <w:pPr>
        <w:rPr>
          <w:i/>
          <w:lang w:val="ru-RU"/>
        </w:rPr>
      </w:pPr>
      <w:r>
        <w:rPr>
          <w:i/>
          <w:lang w:val="ru-RU"/>
        </w:rPr>
        <w:t>Не применимо</w:t>
      </w:r>
    </w:p>
    <w:p w:rsidR="00187F41" w:rsidRPr="00874609" w:rsidRDefault="00874609" w:rsidP="00187F41">
      <w:pPr>
        <w:pStyle w:val="2"/>
        <w:rPr>
          <w:lang w:val="ru-RU"/>
        </w:rPr>
      </w:pPr>
      <w:r>
        <w:rPr>
          <w:lang w:val="ru-RU"/>
        </w:rPr>
        <w:t>Эффективность предыдущих мер по снижению уровня риска</w:t>
      </w:r>
    </w:p>
    <w:p w:rsidR="00187F41" w:rsidRPr="00F45D4A" w:rsidRDefault="00D96395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 w:rsidRPr="00F45D4A">
        <w:rPr>
          <w:i/>
        </w:rPr>
        <w:t>.</w:t>
      </w:r>
    </w:p>
    <w:p w:rsidR="00187F41" w:rsidRPr="00874609" w:rsidRDefault="00874609" w:rsidP="00187F41">
      <w:pPr>
        <w:pStyle w:val="2"/>
        <w:rPr>
          <w:lang w:val="ru-RU"/>
        </w:rPr>
      </w:pPr>
      <w:r w:rsidRPr="00874609">
        <w:rPr>
          <w:lang w:val="ru-RU"/>
        </w:rPr>
        <w:t>Новые уровни риска и меры по их снижению</w:t>
      </w:r>
    </w:p>
    <w:p w:rsidR="00187F41" w:rsidRPr="00F45D4A" w:rsidRDefault="00874609" w:rsidP="00187F41">
      <w:pPr>
        <w:rPr>
          <w:i/>
        </w:rPr>
      </w:pPr>
      <w:proofErr w:type="spellStart"/>
      <w:r>
        <w:rPr>
          <w:i/>
        </w:rPr>
        <w:t>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применимо</w:t>
      </w:r>
      <w:proofErr w:type="spellEnd"/>
      <w:r w:rsidR="00187F41">
        <w:rPr>
          <w:i/>
        </w:rPr>
        <w:t>.</w:t>
      </w:r>
    </w:p>
    <w:p w:rsidR="00187F41" w:rsidRPr="00874609" w:rsidRDefault="00187F41" w:rsidP="00187F41">
      <w:pPr>
        <w:pStyle w:val="2"/>
        <w:rPr>
          <w:lang w:val="ru-RU"/>
        </w:rPr>
      </w:pPr>
      <w:bookmarkStart w:id="20" w:name="_Toc412646228"/>
      <w:bookmarkStart w:id="21" w:name="_Toc454366486"/>
      <w:r>
        <w:t>A</w:t>
      </w:r>
      <w:bookmarkEnd w:id="20"/>
      <w:bookmarkEnd w:id="21"/>
      <w:proofErr w:type="spellStart"/>
      <w:r w:rsidR="00874609" w:rsidRPr="00874609">
        <w:rPr>
          <w:lang w:val="ru-RU"/>
        </w:rPr>
        <w:t>ктуальные</w:t>
      </w:r>
      <w:proofErr w:type="spellEnd"/>
      <w:r w:rsidR="00874609" w:rsidRPr="00874609">
        <w:rPr>
          <w:lang w:val="ru-RU"/>
        </w:rPr>
        <w:t xml:space="preserve"> данные по сырью за последний отчетный период</w:t>
      </w:r>
    </w:p>
    <w:p w:rsidR="008A0E93" w:rsidRPr="00874609" w:rsidRDefault="00A6763E" w:rsidP="008A0E93">
      <w:pPr>
        <w:rPr>
          <w:i/>
          <w:lang w:val="ru-RU"/>
        </w:rPr>
      </w:pPr>
      <w:r w:rsidRPr="00874609">
        <w:rPr>
          <w:i/>
          <w:lang w:val="ru-RU"/>
        </w:rPr>
        <w:t>22399</w:t>
      </w:r>
      <w:r w:rsidR="006675FE" w:rsidRPr="00874609">
        <w:rPr>
          <w:i/>
          <w:lang w:val="ru-RU"/>
        </w:rPr>
        <w:t xml:space="preserve"> </w:t>
      </w:r>
      <w:r w:rsidR="00874609" w:rsidRPr="00874609">
        <w:rPr>
          <w:i/>
          <w:lang w:val="ru-RU"/>
        </w:rPr>
        <w:t>тонн</w:t>
      </w:r>
      <w:r w:rsidR="008A0E93" w:rsidRPr="00874609">
        <w:rPr>
          <w:i/>
          <w:lang w:val="ru-RU"/>
        </w:rPr>
        <w:t xml:space="preserve"> (</w:t>
      </w:r>
      <w:r w:rsidR="00874609" w:rsidRPr="00874609">
        <w:rPr>
          <w:i/>
          <w:lang w:val="ru-RU"/>
        </w:rPr>
        <w:t>низкосортный круглый лес) – теоретические данные</w:t>
      </w:r>
      <w:r w:rsidRPr="00874609">
        <w:rPr>
          <w:i/>
          <w:lang w:val="ru-RU"/>
        </w:rPr>
        <w:t>;</w:t>
      </w:r>
    </w:p>
    <w:p w:rsidR="00187F41" w:rsidRPr="00874609" w:rsidRDefault="00A6763E" w:rsidP="008A0E93">
      <w:pPr>
        <w:rPr>
          <w:i/>
          <w:lang w:val="ru-RU"/>
        </w:rPr>
      </w:pPr>
      <w:r w:rsidRPr="00874609">
        <w:rPr>
          <w:i/>
          <w:lang w:val="ru-RU"/>
        </w:rPr>
        <w:t>38361</w:t>
      </w:r>
      <w:r w:rsidR="00133DA7" w:rsidRPr="00874609">
        <w:rPr>
          <w:i/>
          <w:lang w:val="ru-RU"/>
        </w:rPr>
        <w:t xml:space="preserve"> </w:t>
      </w:r>
      <w:r w:rsidR="00874609" w:rsidRPr="00874609">
        <w:rPr>
          <w:i/>
          <w:lang w:val="ru-RU"/>
        </w:rPr>
        <w:t>тонн</w:t>
      </w:r>
      <w:r w:rsidR="008A0E93" w:rsidRPr="00874609">
        <w:rPr>
          <w:i/>
          <w:lang w:val="ru-RU"/>
        </w:rPr>
        <w:t xml:space="preserve"> (</w:t>
      </w:r>
      <w:r w:rsidR="00874609" w:rsidRPr="00874609">
        <w:rPr>
          <w:i/>
          <w:lang w:val="ru-RU"/>
        </w:rPr>
        <w:t xml:space="preserve">остатки </w:t>
      </w:r>
      <w:proofErr w:type="spellStart"/>
      <w:r w:rsidR="00874609" w:rsidRPr="00874609">
        <w:rPr>
          <w:i/>
          <w:lang w:val="ru-RU"/>
        </w:rPr>
        <w:t>прроизводства</w:t>
      </w:r>
      <w:proofErr w:type="spellEnd"/>
      <w:r w:rsidR="00874609" w:rsidRPr="00874609">
        <w:rPr>
          <w:i/>
          <w:lang w:val="ru-RU"/>
        </w:rPr>
        <w:t xml:space="preserve"> шпона) – теоретические</w:t>
      </w:r>
      <w:r w:rsidR="00874609">
        <w:rPr>
          <w:i/>
          <w:lang w:val="ru-RU"/>
        </w:rPr>
        <w:t xml:space="preserve"> </w:t>
      </w:r>
      <w:proofErr w:type="gramStart"/>
      <w:r w:rsidR="00874609">
        <w:rPr>
          <w:i/>
          <w:lang w:val="ru-RU"/>
        </w:rPr>
        <w:t>данные</w:t>
      </w:r>
      <w:r w:rsidR="00874609" w:rsidRPr="00874609">
        <w:rPr>
          <w:i/>
          <w:lang w:val="ru-RU"/>
        </w:rPr>
        <w:t xml:space="preserve"> </w:t>
      </w:r>
      <w:r w:rsidRPr="00874609">
        <w:rPr>
          <w:i/>
          <w:lang w:val="ru-RU"/>
        </w:rPr>
        <w:t>.</w:t>
      </w:r>
      <w:proofErr w:type="gramEnd"/>
    </w:p>
    <w:p w:rsidR="00187F41" w:rsidRPr="00874609" w:rsidRDefault="00874609" w:rsidP="00187F41">
      <w:pPr>
        <w:pStyle w:val="2"/>
        <w:rPr>
          <w:lang w:val="ru-RU"/>
        </w:rPr>
      </w:pPr>
      <w:r w:rsidRPr="00874609">
        <w:rPr>
          <w:lang w:val="ru-RU"/>
        </w:rPr>
        <w:t>Ожидаемые данные по сырью за следующие 12 месяцев</w:t>
      </w:r>
    </w:p>
    <w:p w:rsidR="00781DCB" w:rsidRPr="00874609" w:rsidRDefault="00133DA7" w:rsidP="008A0E93">
      <w:pPr>
        <w:rPr>
          <w:lang w:val="ru-RU"/>
        </w:rPr>
      </w:pPr>
      <w:r w:rsidRPr="00874609">
        <w:rPr>
          <w:i/>
          <w:lang w:val="ru-RU"/>
        </w:rPr>
        <w:t>70 000</w:t>
      </w:r>
      <w:r w:rsidR="00874609" w:rsidRPr="00874609">
        <w:rPr>
          <w:i/>
          <w:lang w:val="ru-RU"/>
        </w:rPr>
        <w:t xml:space="preserve"> тонн первичного и вторичного </w:t>
      </w:r>
      <w:proofErr w:type="gramStart"/>
      <w:r w:rsidR="00874609" w:rsidRPr="00874609">
        <w:rPr>
          <w:i/>
          <w:lang w:val="ru-RU"/>
        </w:rPr>
        <w:t>сырья.</w:t>
      </w:r>
      <w:bookmarkStart w:id="22" w:name="_GoBack"/>
      <w:bookmarkEnd w:id="22"/>
      <w:r w:rsidR="008A0E93" w:rsidRPr="00874609">
        <w:rPr>
          <w:i/>
          <w:lang w:val="ru-RU"/>
        </w:rPr>
        <w:t>.</w:t>
      </w:r>
      <w:proofErr w:type="gramEnd"/>
    </w:p>
    <w:sectPr w:rsidR="00781DCB" w:rsidRPr="00874609" w:rsidSect="00943B6A">
      <w:headerReference w:type="even" r:id="rId13"/>
      <w:headerReference w:type="first" r:id="rId14"/>
      <w:pgSz w:w="11906" w:h="16838"/>
      <w:pgMar w:top="1560" w:right="1134" w:bottom="1134" w:left="1134" w:header="113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3D" w:rsidRDefault="0008133D" w:rsidP="004309B9">
      <w:r>
        <w:separator/>
      </w:r>
    </w:p>
  </w:endnote>
  <w:endnote w:type="continuationSeparator" w:id="0">
    <w:p w:rsidR="0008133D" w:rsidRDefault="0008133D" w:rsidP="0043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0D" w:rsidRPr="00A2664E" w:rsidRDefault="00175E0D" w:rsidP="00EF72B4">
    <w:pPr>
      <w:pStyle w:val="a6"/>
      <w:jc w:val="left"/>
      <w:rPr>
        <w:color w:val="006890"/>
      </w:rPr>
    </w:pPr>
    <w:r>
      <w:rPr>
        <w:color w:val="006890"/>
      </w:rPr>
      <w:t xml:space="preserve">Supply Base Report: </w:t>
    </w:r>
    <w:r>
      <w:rPr>
        <w:color w:val="006890"/>
      </w:rPr>
      <w:tab/>
    </w:r>
    <w:r>
      <w:rPr>
        <w:color w:val="006890"/>
      </w:rPr>
      <w:tab/>
    </w:r>
    <w:r w:rsidRPr="00A2664E">
      <w:rPr>
        <w:color w:val="006890"/>
      </w:rPr>
      <w:t xml:space="preserve">Page </w:t>
    </w:r>
    <w:sdt>
      <w:sdtPr>
        <w:rPr>
          <w:color w:val="006890"/>
        </w:rPr>
        <w:id w:val="596143319"/>
        <w:docPartObj>
          <w:docPartGallery w:val="Page Numbers (Bottom of Page)"/>
          <w:docPartUnique/>
        </w:docPartObj>
      </w:sdtPr>
      <w:sdtEndPr/>
      <w:sdtContent>
        <w:r w:rsidRPr="00A2664E">
          <w:rPr>
            <w:color w:val="006890"/>
          </w:rPr>
          <w:fldChar w:fldCharType="begin"/>
        </w:r>
        <w:r w:rsidRPr="00A2664E">
          <w:rPr>
            <w:color w:val="006890"/>
          </w:rPr>
          <w:instrText xml:space="preserve"> PAGE   \* MERGEFORMAT </w:instrText>
        </w:r>
        <w:r w:rsidRPr="00A2664E">
          <w:rPr>
            <w:color w:val="006890"/>
          </w:rPr>
          <w:fldChar w:fldCharType="separate"/>
        </w:r>
        <w:r w:rsidR="00874609">
          <w:rPr>
            <w:noProof/>
            <w:color w:val="006890"/>
          </w:rPr>
          <w:t>17</w:t>
        </w:r>
        <w:r w:rsidRPr="00A2664E">
          <w:rPr>
            <w:noProof/>
            <w:color w:val="00689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0D" w:rsidRDefault="00175E0D" w:rsidP="004309B9">
    <w:pPr>
      <w:pStyle w:val="a6"/>
    </w:pPr>
    <w:r>
      <w:rPr>
        <w:noProof/>
        <w:lang w:val="ru-RU" w:eastAsia="ru-R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-673100</wp:posOffset>
          </wp:positionH>
          <wp:positionV relativeFrom="page">
            <wp:posOffset>9199245</wp:posOffset>
          </wp:positionV>
          <wp:extent cx="7499985" cy="1474470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85" cy="147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3D" w:rsidRDefault="0008133D" w:rsidP="004309B9">
      <w:r>
        <w:separator/>
      </w:r>
    </w:p>
  </w:footnote>
  <w:footnote w:type="continuationSeparator" w:id="0">
    <w:p w:rsidR="0008133D" w:rsidRDefault="0008133D" w:rsidP="00430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0D" w:rsidRDefault="00175E0D" w:rsidP="004309B9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4652563</wp:posOffset>
          </wp:positionH>
          <wp:positionV relativeFrom="page">
            <wp:posOffset>180730</wp:posOffset>
          </wp:positionV>
          <wp:extent cx="1842135" cy="1113155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0D" w:rsidRDefault="00175E0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E0D" w:rsidRDefault="00FD1465" w:rsidP="004309B9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10475" cy="10753725"/>
              <wp:effectExtent l="0" t="0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0475" cy="10753725"/>
                      </a:xfrm>
                      <a:prstGeom prst="rect">
                        <a:avLst/>
                      </a:prstGeom>
                      <a:solidFill>
                        <a:srgbClr val="D9E9E2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62B464" id="Rectangle 3" o:spid="_x0000_s1026" style="position:absolute;margin-left:0;margin-top:0;width:599.25pt;height:8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" fillcolor="#d9e9e2" stroked="f">
              <w10:wrap anchorx="page" anchory="page"/>
            </v:rect>
          </w:pict>
        </mc:Fallback>
      </mc:AlternateContent>
    </w:r>
    <w:r w:rsidR="00175E0D"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4208780</wp:posOffset>
          </wp:positionH>
          <wp:positionV relativeFrom="page">
            <wp:posOffset>446405</wp:posOffset>
          </wp:positionV>
          <wp:extent cx="2857500" cy="1114425"/>
          <wp:effectExtent l="19050" t="0" r="0" b="0"/>
          <wp:wrapNone/>
          <wp:docPr id="14" name="Picture 14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CDB"/>
    <w:multiLevelType w:val="hybridMultilevel"/>
    <w:tmpl w:val="A68E116E"/>
    <w:lvl w:ilvl="0" w:tplc="F3049C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7E3"/>
    <w:multiLevelType w:val="multilevel"/>
    <w:tmpl w:val="22043950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15686D1A"/>
    <w:multiLevelType w:val="hybridMultilevel"/>
    <w:tmpl w:val="E0803F0A"/>
    <w:lvl w:ilvl="0" w:tplc="B636CDA8">
      <w:start w:val="1"/>
      <w:numFmt w:val="bullet"/>
      <w:pStyle w:val="Intented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019F9"/>
    <w:multiLevelType w:val="multilevel"/>
    <w:tmpl w:val="65387B76"/>
    <w:styleLink w:val="SB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027C2A"/>
    <w:multiLevelType w:val="hybridMultilevel"/>
    <w:tmpl w:val="F4A4DA64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7A1E5736">
      <w:start w:val="1"/>
      <w:numFmt w:val="decimal"/>
      <w:lvlText w:val="%3."/>
      <w:lvlJc w:val="lef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D0D51"/>
    <w:multiLevelType w:val="hybridMultilevel"/>
    <w:tmpl w:val="80D04B9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28F823D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F854F4"/>
    <w:multiLevelType w:val="hybridMultilevel"/>
    <w:tmpl w:val="9F0C386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B67C11"/>
    <w:multiLevelType w:val="hybridMultilevel"/>
    <w:tmpl w:val="F222BEB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770B85"/>
    <w:multiLevelType w:val="hybridMultilevel"/>
    <w:tmpl w:val="3E861D50"/>
    <w:lvl w:ilvl="0" w:tplc="EC56562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324F5"/>
    <w:multiLevelType w:val="hybridMultilevel"/>
    <w:tmpl w:val="2260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927B8E"/>
    <w:multiLevelType w:val="hybridMultilevel"/>
    <w:tmpl w:val="C0DAF6EA"/>
    <w:lvl w:ilvl="0" w:tplc="4524C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8255D"/>
    <w:multiLevelType w:val="hybridMultilevel"/>
    <w:tmpl w:val="45960FAE"/>
    <w:lvl w:ilvl="0" w:tplc="DAFC800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C73E5"/>
    <w:multiLevelType w:val="multilevel"/>
    <w:tmpl w:val="CFF6B8B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2436AA2"/>
    <w:multiLevelType w:val="hybridMultilevel"/>
    <w:tmpl w:val="53BCE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45CEC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53836"/>
    <w:multiLevelType w:val="hybridMultilevel"/>
    <w:tmpl w:val="166E002C"/>
    <w:lvl w:ilvl="0" w:tplc="B3F8E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54C16"/>
    <w:multiLevelType w:val="hybridMultilevel"/>
    <w:tmpl w:val="593C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4EEF"/>
    <w:multiLevelType w:val="hybridMultilevel"/>
    <w:tmpl w:val="CC7AF41A"/>
    <w:lvl w:ilvl="0" w:tplc="445CEC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C"/>
    <w:rsid w:val="00010F08"/>
    <w:rsid w:val="00033312"/>
    <w:rsid w:val="00051F9E"/>
    <w:rsid w:val="00053004"/>
    <w:rsid w:val="00065453"/>
    <w:rsid w:val="00071C87"/>
    <w:rsid w:val="000744F2"/>
    <w:rsid w:val="0007597E"/>
    <w:rsid w:val="00077D87"/>
    <w:rsid w:val="0008133D"/>
    <w:rsid w:val="00090DFF"/>
    <w:rsid w:val="00092F5E"/>
    <w:rsid w:val="000952FA"/>
    <w:rsid w:val="000A4E92"/>
    <w:rsid w:val="000B17EE"/>
    <w:rsid w:val="000C085A"/>
    <w:rsid w:val="000D0359"/>
    <w:rsid w:val="000E609E"/>
    <w:rsid w:val="000F1E79"/>
    <w:rsid w:val="00107D29"/>
    <w:rsid w:val="00112483"/>
    <w:rsid w:val="00115B85"/>
    <w:rsid w:val="00127FE8"/>
    <w:rsid w:val="00133DA7"/>
    <w:rsid w:val="00175E0D"/>
    <w:rsid w:val="00183484"/>
    <w:rsid w:val="001841CA"/>
    <w:rsid w:val="00187F41"/>
    <w:rsid w:val="00194F5D"/>
    <w:rsid w:val="001A1551"/>
    <w:rsid w:val="001A6032"/>
    <w:rsid w:val="001A7145"/>
    <w:rsid w:val="001C5132"/>
    <w:rsid w:val="001F6BB7"/>
    <w:rsid w:val="00206BE6"/>
    <w:rsid w:val="002325DF"/>
    <w:rsid w:val="002422F1"/>
    <w:rsid w:val="00247CD1"/>
    <w:rsid w:val="002535F9"/>
    <w:rsid w:val="00262B51"/>
    <w:rsid w:val="002B1D3E"/>
    <w:rsid w:val="002B5779"/>
    <w:rsid w:val="002C3F4C"/>
    <w:rsid w:val="00300428"/>
    <w:rsid w:val="00301241"/>
    <w:rsid w:val="00303D5F"/>
    <w:rsid w:val="00305ECA"/>
    <w:rsid w:val="00313685"/>
    <w:rsid w:val="0032172F"/>
    <w:rsid w:val="00325C64"/>
    <w:rsid w:val="0035480F"/>
    <w:rsid w:val="00360FA4"/>
    <w:rsid w:val="00372C15"/>
    <w:rsid w:val="003A3AF6"/>
    <w:rsid w:val="003C648A"/>
    <w:rsid w:val="003D76E0"/>
    <w:rsid w:val="003F4716"/>
    <w:rsid w:val="00400B8F"/>
    <w:rsid w:val="004309B9"/>
    <w:rsid w:val="004725CE"/>
    <w:rsid w:val="00477B62"/>
    <w:rsid w:val="00493940"/>
    <w:rsid w:val="004A65B7"/>
    <w:rsid w:val="004B6DE4"/>
    <w:rsid w:val="004C3130"/>
    <w:rsid w:val="004D6CCE"/>
    <w:rsid w:val="004E0B55"/>
    <w:rsid w:val="004E2317"/>
    <w:rsid w:val="004E5B6B"/>
    <w:rsid w:val="004E6C0D"/>
    <w:rsid w:val="00525583"/>
    <w:rsid w:val="00540901"/>
    <w:rsid w:val="00551D28"/>
    <w:rsid w:val="00556908"/>
    <w:rsid w:val="005734BC"/>
    <w:rsid w:val="00573C53"/>
    <w:rsid w:val="0058391E"/>
    <w:rsid w:val="00583FCE"/>
    <w:rsid w:val="00596ECC"/>
    <w:rsid w:val="005A6B1C"/>
    <w:rsid w:val="005B0801"/>
    <w:rsid w:val="005B0A2B"/>
    <w:rsid w:val="005B4F80"/>
    <w:rsid w:val="005C4BAC"/>
    <w:rsid w:val="005D1BA9"/>
    <w:rsid w:val="005D488C"/>
    <w:rsid w:val="005D71D7"/>
    <w:rsid w:val="0060397E"/>
    <w:rsid w:val="0063539C"/>
    <w:rsid w:val="00642883"/>
    <w:rsid w:val="0064590A"/>
    <w:rsid w:val="006514D5"/>
    <w:rsid w:val="0065362E"/>
    <w:rsid w:val="0066412A"/>
    <w:rsid w:val="006675FE"/>
    <w:rsid w:val="00667B79"/>
    <w:rsid w:val="00670184"/>
    <w:rsid w:val="00694330"/>
    <w:rsid w:val="006A1D1B"/>
    <w:rsid w:val="006B42AA"/>
    <w:rsid w:val="006F1769"/>
    <w:rsid w:val="006F17AF"/>
    <w:rsid w:val="006F17BF"/>
    <w:rsid w:val="006F4693"/>
    <w:rsid w:val="006F6E19"/>
    <w:rsid w:val="0070080F"/>
    <w:rsid w:val="007024D0"/>
    <w:rsid w:val="00703EEF"/>
    <w:rsid w:val="00725703"/>
    <w:rsid w:val="0072722D"/>
    <w:rsid w:val="00761319"/>
    <w:rsid w:val="00772BEF"/>
    <w:rsid w:val="00780C0F"/>
    <w:rsid w:val="00781DCB"/>
    <w:rsid w:val="00794B0C"/>
    <w:rsid w:val="0079682A"/>
    <w:rsid w:val="007A4175"/>
    <w:rsid w:val="007A56C4"/>
    <w:rsid w:val="007B4310"/>
    <w:rsid w:val="007C5EAE"/>
    <w:rsid w:val="007E1465"/>
    <w:rsid w:val="007E2D15"/>
    <w:rsid w:val="007F5C61"/>
    <w:rsid w:val="008061F3"/>
    <w:rsid w:val="00806F97"/>
    <w:rsid w:val="008104ED"/>
    <w:rsid w:val="008117A1"/>
    <w:rsid w:val="0081191A"/>
    <w:rsid w:val="00813162"/>
    <w:rsid w:val="0081780F"/>
    <w:rsid w:val="0083069A"/>
    <w:rsid w:val="0083099F"/>
    <w:rsid w:val="00836566"/>
    <w:rsid w:val="00836D4B"/>
    <w:rsid w:val="00863474"/>
    <w:rsid w:val="00865E70"/>
    <w:rsid w:val="00874609"/>
    <w:rsid w:val="00881724"/>
    <w:rsid w:val="00892AD3"/>
    <w:rsid w:val="008A0E93"/>
    <w:rsid w:val="008A5C72"/>
    <w:rsid w:val="008D7DB0"/>
    <w:rsid w:val="008E0555"/>
    <w:rsid w:val="008F466B"/>
    <w:rsid w:val="008F6B57"/>
    <w:rsid w:val="00907402"/>
    <w:rsid w:val="00912623"/>
    <w:rsid w:val="00914DF8"/>
    <w:rsid w:val="009201C5"/>
    <w:rsid w:val="00931123"/>
    <w:rsid w:val="0093269F"/>
    <w:rsid w:val="00943B6A"/>
    <w:rsid w:val="00952108"/>
    <w:rsid w:val="00952E2F"/>
    <w:rsid w:val="00964D42"/>
    <w:rsid w:val="00966FE2"/>
    <w:rsid w:val="009748F8"/>
    <w:rsid w:val="009813C7"/>
    <w:rsid w:val="009876E0"/>
    <w:rsid w:val="00987CC9"/>
    <w:rsid w:val="00993363"/>
    <w:rsid w:val="009A0B66"/>
    <w:rsid w:val="009A7974"/>
    <w:rsid w:val="009D5F94"/>
    <w:rsid w:val="009D6F5D"/>
    <w:rsid w:val="00A008B0"/>
    <w:rsid w:val="00A14E9B"/>
    <w:rsid w:val="00A2664E"/>
    <w:rsid w:val="00A31A54"/>
    <w:rsid w:val="00A37B35"/>
    <w:rsid w:val="00A54E1A"/>
    <w:rsid w:val="00A551EA"/>
    <w:rsid w:val="00A62888"/>
    <w:rsid w:val="00A66587"/>
    <w:rsid w:val="00A6763E"/>
    <w:rsid w:val="00A76180"/>
    <w:rsid w:val="00A96011"/>
    <w:rsid w:val="00AA4CB5"/>
    <w:rsid w:val="00AC3979"/>
    <w:rsid w:val="00AF5B07"/>
    <w:rsid w:val="00B017F7"/>
    <w:rsid w:val="00B052F7"/>
    <w:rsid w:val="00B104DD"/>
    <w:rsid w:val="00B112CF"/>
    <w:rsid w:val="00B165D0"/>
    <w:rsid w:val="00B3262B"/>
    <w:rsid w:val="00B366EC"/>
    <w:rsid w:val="00B42DC1"/>
    <w:rsid w:val="00B43C6B"/>
    <w:rsid w:val="00B508EA"/>
    <w:rsid w:val="00B76534"/>
    <w:rsid w:val="00B94D3B"/>
    <w:rsid w:val="00BA0DEB"/>
    <w:rsid w:val="00BB2DD2"/>
    <w:rsid w:val="00BC6C2D"/>
    <w:rsid w:val="00BD5608"/>
    <w:rsid w:val="00C003D3"/>
    <w:rsid w:val="00C032AA"/>
    <w:rsid w:val="00C04DF5"/>
    <w:rsid w:val="00C05D49"/>
    <w:rsid w:val="00C368BD"/>
    <w:rsid w:val="00C604DF"/>
    <w:rsid w:val="00C62321"/>
    <w:rsid w:val="00C70479"/>
    <w:rsid w:val="00C72C19"/>
    <w:rsid w:val="00C72E3C"/>
    <w:rsid w:val="00C77D58"/>
    <w:rsid w:val="00CA06FB"/>
    <w:rsid w:val="00CB5442"/>
    <w:rsid w:val="00CE2291"/>
    <w:rsid w:val="00D14D09"/>
    <w:rsid w:val="00D20256"/>
    <w:rsid w:val="00D432B7"/>
    <w:rsid w:val="00D432E0"/>
    <w:rsid w:val="00D55423"/>
    <w:rsid w:val="00D667F1"/>
    <w:rsid w:val="00D66D4A"/>
    <w:rsid w:val="00D74F50"/>
    <w:rsid w:val="00D7793E"/>
    <w:rsid w:val="00D8268A"/>
    <w:rsid w:val="00D836AE"/>
    <w:rsid w:val="00D92611"/>
    <w:rsid w:val="00D96395"/>
    <w:rsid w:val="00DC67FF"/>
    <w:rsid w:val="00DD4B23"/>
    <w:rsid w:val="00DD6523"/>
    <w:rsid w:val="00DD66DA"/>
    <w:rsid w:val="00DD6D07"/>
    <w:rsid w:val="00DE38D7"/>
    <w:rsid w:val="00DF065C"/>
    <w:rsid w:val="00DF25F3"/>
    <w:rsid w:val="00E16EA4"/>
    <w:rsid w:val="00E24D47"/>
    <w:rsid w:val="00E44047"/>
    <w:rsid w:val="00E45D2B"/>
    <w:rsid w:val="00E51E05"/>
    <w:rsid w:val="00E542DA"/>
    <w:rsid w:val="00E54E73"/>
    <w:rsid w:val="00E57BA6"/>
    <w:rsid w:val="00E62195"/>
    <w:rsid w:val="00E77B78"/>
    <w:rsid w:val="00E851C5"/>
    <w:rsid w:val="00EA1D4E"/>
    <w:rsid w:val="00EA2109"/>
    <w:rsid w:val="00EA2790"/>
    <w:rsid w:val="00EB2192"/>
    <w:rsid w:val="00EB5937"/>
    <w:rsid w:val="00ED0133"/>
    <w:rsid w:val="00ED5B1D"/>
    <w:rsid w:val="00ED692D"/>
    <w:rsid w:val="00EF72B4"/>
    <w:rsid w:val="00F04032"/>
    <w:rsid w:val="00F04E75"/>
    <w:rsid w:val="00F07403"/>
    <w:rsid w:val="00F13EF3"/>
    <w:rsid w:val="00F249FD"/>
    <w:rsid w:val="00F442AE"/>
    <w:rsid w:val="00F45D4A"/>
    <w:rsid w:val="00F543A0"/>
    <w:rsid w:val="00F5639C"/>
    <w:rsid w:val="00F566FF"/>
    <w:rsid w:val="00F7357F"/>
    <w:rsid w:val="00F84019"/>
    <w:rsid w:val="00F91A4F"/>
    <w:rsid w:val="00F96632"/>
    <w:rsid w:val="00FA2D6A"/>
    <w:rsid w:val="00FB28B2"/>
    <w:rsid w:val="00FC1F91"/>
    <w:rsid w:val="00FC7363"/>
    <w:rsid w:val="00FD1465"/>
    <w:rsid w:val="00FE1F9B"/>
    <w:rsid w:val="00FE4BC8"/>
    <w:rsid w:val="00FE7E91"/>
    <w:rsid w:val="00FF0859"/>
    <w:rsid w:val="00FF5E96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D4900F-5198-4633-A933-EAAB8615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09B9"/>
    <w:pPr>
      <w:spacing w:line="312" w:lineRule="auto"/>
    </w:pPr>
    <w:rPr>
      <w:sz w:val="20"/>
      <w:szCs w:val="20"/>
    </w:rPr>
  </w:style>
  <w:style w:type="paragraph" w:styleId="1">
    <w:name w:val="heading 1"/>
    <w:next w:val="a0"/>
    <w:link w:val="10"/>
    <w:autoRedefine/>
    <w:qFormat/>
    <w:rsid w:val="00A2664E"/>
    <w:pPr>
      <w:keepNext/>
      <w:keepLines/>
      <w:pageBreakBefore/>
      <w:numPr>
        <w:numId w:val="11"/>
      </w:numPr>
      <w:spacing w:before="480" w:after="240"/>
      <w:ind w:left="851" w:hanging="851"/>
      <w:outlineLvl w:val="0"/>
    </w:pPr>
    <w:rPr>
      <w:rFonts w:asciiTheme="majorHAnsi" w:eastAsiaTheme="majorEastAsia" w:hAnsiTheme="majorHAnsi" w:cstheme="majorBidi"/>
      <w:bCs/>
      <w:color w:val="006890"/>
      <w:sz w:val="48"/>
      <w:szCs w:val="48"/>
    </w:rPr>
  </w:style>
  <w:style w:type="paragraph" w:styleId="2">
    <w:name w:val="heading 2"/>
    <w:basedOn w:val="1"/>
    <w:next w:val="a0"/>
    <w:link w:val="20"/>
    <w:unhideWhenUsed/>
    <w:qFormat/>
    <w:rsid w:val="007B4310"/>
    <w:pPr>
      <w:pageBreakBefore w:val="0"/>
      <w:numPr>
        <w:ilvl w:val="1"/>
      </w:numPr>
      <w:spacing w:before="360" w:after="120"/>
      <w:ind w:left="851" w:hanging="851"/>
      <w:outlineLvl w:val="1"/>
    </w:pPr>
    <w:rPr>
      <w:bCs w:val="0"/>
      <w:sz w:val="36"/>
      <w:szCs w:val="36"/>
    </w:rPr>
  </w:style>
  <w:style w:type="paragraph" w:styleId="3">
    <w:name w:val="heading 3"/>
    <w:basedOn w:val="2"/>
    <w:next w:val="a0"/>
    <w:link w:val="30"/>
    <w:unhideWhenUsed/>
    <w:qFormat/>
    <w:rsid w:val="00F04032"/>
    <w:pPr>
      <w:numPr>
        <w:ilvl w:val="2"/>
      </w:numPr>
      <w:spacing w:before="240"/>
      <w:ind w:left="1701" w:hanging="850"/>
      <w:outlineLvl w:val="2"/>
    </w:pPr>
    <w:rPr>
      <w:bCs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5B0A2B"/>
    <w:pPr>
      <w:keepNext/>
      <w:keepLines/>
      <w:numPr>
        <w:ilvl w:val="2"/>
        <w:numId w:val="5"/>
      </w:numPr>
      <w:spacing w:before="240" w:after="120"/>
      <w:ind w:left="1701" w:hanging="850"/>
      <w:outlineLvl w:val="3"/>
    </w:pPr>
    <w:rPr>
      <w:rFonts w:asciiTheme="majorHAnsi" w:eastAsiaTheme="majorEastAsia" w:hAnsiTheme="majorHAnsi" w:cstheme="majorBidi"/>
      <w:bCs/>
      <w:iCs/>
      <w:color w:val="3D946D"/>
      <w:sz w:val="28"/>
      <w:szCs w:val="28"/>
    </w:rPr>
  </w:style>
  <w:style w:type="paragraph" w:styleId="5">
    <w:name w:val="heading 5"/>
    <w:aliases w:val="SBR_CH"/>
    <w:basedOn w:val="a0"/>
    <w:next w:val="a0"/>
    <w:link w:val="50"/>
    <w:autoRedefine/>
    <w:uiPriority w:val="9"/>
    <w:unhideWhenUsed/>
    <w:qFormat/>
    <w:rsid w:val="004D6C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691"/>
      <w:sz w:val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36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36D4B"/>
  </w:style>
  <w:style w:type="paragraph" w:styleId="a6">
    <w:name w:val="footer"/>
    <w:basedOn w:val="a0"/>
    <w:link w:val="a7"/>
    <w:uiPriority w:val="99"/>
    <w:unhideWhenUsed/>
    <w:rsid w:val="0060397E"/>
    <w:pPr>
      <w:tabs>
        <w:tab w:val="center" w:pos="4513"/>
        <w:tab w:val="right" w:pos="9026"/>
      </w:tabs>
      <w:spacing w:after="0" w:line="240" w:lineRule="auto"/>
      <w:jc w:val="right"/>
    </w:pPr>
    <w:rPr>
      <w:color w:val="3D946D"/>
      <w:sz w:val="18"/>
    </w:rPr>
  </w:style>
  <w:style w:type="character" w:customStyle="1" w:styleId="a7">
    <w:name w:val="Нижний колонтитул Знак"/>
    <w:basedOn w:val="a1"/>
    <w:link w:val="a6"/>
    <w:uiPriority w:val="99"/>
    <w:rsid w:val="0060397E"/>
    <w:rPr>
      <w:color w:val="3D946D"/>
      <w:sz w:val="18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8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6D4B"/>
    <w:rPr>
      <w:rFonts w:ascii="Tahoma" w:hAnsi="Tahoma" w:cs="Tahoma"/>
      <w:sz w:val="16"/>
      <w:szCs w:val="16"/>
    </w:rPr>
  </w:style>
  <w:style w:type="paragraph" w:styleId="aa">
    <w:name w:val="Title"/>
    <w:basedOn w:val="a0"/>
    <w:next w:val="a0"/>
    <w:link w:val="ab"/>
    <w:qFormat/>
    <w:rsid w:val="00B94D3B"/>
    <w:pPr>
      <w:spacing w:after="300" w:line="240" w:lineRule="auto"/>
      <w:contextualSpacing/>
    </w:pPr>
    <w:rPr>
      <w:rFonts w:ascii="Georgia" w:eastAsiaTheme="majorEastAsia" w:hAnsi="Georgia" w:cstheme="majorBidi"/>
      <w:color w:val="3D946D"/>
      <w:spacing w:val="5"/>
      <w:kern w:val="28"/>
      <w:sz w:val="80"/>
      <w:szCs w:val="80"/>
    </w:rPr>
  </w:style>
  <w:style w:type="character" w:customStyle="1" w:styleId="ab">
    <w:name w:val="Название Знак"/>
    <w:basedOn w:val="a1"/>
    <w:link w:val="aa"/>
    <w:rsid w:val="00B94D3B"/>
    <w:rPr>
      <w:rFonts w:ascii="Georgia" w:eastAsiaTheme="majorEastAsia" w:hAnsi="Georgia" w:cstheme="majorBidi"/>
      <w:color w:val="3D946D"/>
      <w:spacing w:val="5"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9"/>
    <w:rsid w:val="00A2664E"/>
    <w:rPr>
      <w:rFonts w:asciiTheme="majorHAnsi" w:eastAsiaTheme="majorEastAsia" w:hAnsiTheme="majorHAnsi" w:cstheme="majorBidi"/>
      <w:bCs/>
      <w:color w:val="006890"/>
      <w:sz w:val="48"/>
      <w:szCs w:val="48"/>
    </w:rPr>
  </w:style>
  <w:style w:type="paragraph" w:styleId="ac">
    <w:name w:val="TOC Heading"/>
    <w:next w:val="a0"/>
    <w:uiPriority w:val="39"/>
    <w:unhideWhenUsed/>
    <w:qFormat/>
    <w:rsid w:val="00F04032"/>
    <w:rPr>
      <w:rFonts w:asciiTheme="majorHAnsi" w:eastAsiaTheme="majorEastAsia" w:hAnsiTheme="majorHAnsi" w:cstheme="majorBidi"/>
      <w:bCs/>
      <w:color w:val="3D946D"/>
      <w:sz w:val="48"/>
      <w:szCs w:val="48"/>
      <w:lang w:val="en-US"/>
    </w:rPr>
  </w:style>
  <w:style w:type="paragraph" w:styleId="11">
    <w:name w:val="toc 1"/>
    <w:basedOn w:val="a0"/>
    <w:next w:val="a0"/>
    <w:autoRedefine/>
    <w:uiPriority w:val="39"/>
    <w:unhideWhenUsed/>
    <w:rsid w:val="00FB28B2"/>
    <w:pPr>
      <w:tabs>
        <w:tab w:val="left" w:pos="567"/>
        <w:tab w:val="right" w:leader="dot" w:pos="9639"/>
      </w:tabs>
      <w:spacing w:after="100"/>
      <w:ind w:left="567" w:hanging="567"/>
    </w:pPr>
    <w:rPr>
      <w:b/>
      <w:noProof/>
    </w:rPr>
  </w:style>
  <w:style w:type="character" w:styleId="ad">
    <w:name w:val="Hyperlink"/>
    <w:basedOn w:val="a1"/>
    <w:uiPriority w:val="99"/>
    <w:unhideWhenUsed/>
    <w:rsid w:val="0060397E"/>
    <w:rPr>
      <w:color w:val="0B6F3E" w:themeColor="hyperlink"/>
      <w:u w:val="single"/>
    </w:rPr>
  </w:style>
  <w:style w:type="character" w:customStyle="1" w:styleId="20">
    <w:name w:val="Заголовок 2 Знак"/>
    <w:basedOn w:val="a1"/>
    <w:link w:val="2"/>
    <w:rsid w:val="007B4310"/>
    <w:rPr>
      <w:rFonts w:asciiTheme="majorHAnsi" w:eastAsiaTheme="majorEastAsia" w:hAnsiTheme="majorHAnsi" w:cstheme="majorBidi"/>
      <w:color w:val="3D946D"/>
      <w:sz w:val="36"/>
      <w:szCs w:val="36"/>
    </w:rPr>
  </w:style>
  <w:style w:type="paragraph" w:styleId="21">
    <w:name w:val="toc 2"/>
    <w:basedOn w:val="a0"/>
    <w:next w:val="a0"/>
    <w:autoRedefine/>
    <w:uiPriority w:val="39"/>
    <w:unhideWhenUsed/>
    <w:rsid w:val="00F5639C"/>
    <w:pPr>
      <w:tabs>
        <w:tab w:val="left" w:pos="567"/>
        <w:tab w:val="right" w:leader="dot" w:pos="9628"/>
      </w:tabs>
      <w:spacing w:after="100"/>
    </w:pPr>
    <w:rPr>
      <w:noProof/>
    </w:rPr>
  </w:style>
  <w:style w:type="character" w:customStyle="1" w:styleId="30">
    <w:name w:val="Заголовок 3 Знак"/>
    <w:basedOn w:val="a1"/>
    <w:link w:val="3"/>
    <w:uiPriority w:val="9"/>
    <w:rsid w:val="00F04032"/>
    <w:rPr>
      <w:rFonts w:asciiTheme="majorHAnsi" w:eastAsiaTheme="majorEastAsia" w:hAnsiTheme="majorHAnsi" w:cstheme="majorBidi"/>
      <w:bCs/>
      <w:color w:val="3D946D"/>
      <w:sz w:val="32"/>
      <w:szCs w:val="32"/>
    </w:rPr>
  </w:style>
  <w:style w:type="numbering" w:customStyle="1" w:styleId="SBP">
    <w:name w:val="SBP"/>
    <w:uiPriority w:val="99"/>
    <w:rsid w:val="005B0A2B"/>
    <w:pPr>
      <w:numPr>
        <w:numId w:val="5"/>
      </w:numPr>
    </w:pPr>
  </w:style>
  <w:style w:type="paragraph" w:customStyle="1" w:styleId="Indented">
    <w:name w:val="Indented"/>
    <w:basedOn w:val="a0"/>
    <w:link w:val="IndentedChar"/>
    <w:qFormat/>
    <w:rsid w:val="004309B9"/>
    <w:pPr>
      <w:ind w:left="851"/>
    </w:pPr>
  </w:style>
  <w:style w:type="character" w:customStyle="1" w:styleId="40">
    <w:name w:val="Заголовок 4 Знак"/>
    <w:basedOn w:val="a1"/>
    <w:link w:val="4"/>
    <w:uiPriority w:val="9"/>
    <w:rsid w:val="005B0A2B"/>
    <w:rPr>
      <w:rFonts w:asciiTheme="majorHAnsi" w:eastAsiaTheme="majorEastAsia" w:hAnsiTheme="majorHAnsi" w:cstheme="majorBidi"/>
      <w:bCs/>
      <w:iCs/>
      <w:color w:val="3D946D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83069A"/>
    <w:pPr>
      <w:tabs>
        <w:tab w:val="left" w:pos="1418"/>
        <w:tab w:val="right" w:leader="dot" w:pos="9628"/>
      </w:tabs>
      <w:spacing w:after="100"/>
      <w:ind w:left="567"/>
    </w:pPr>
    <w:rPr>
      <w:noProof/>
    </w:rPr>
  </w:style>
  <w:style w:type="character" w:customStyle="1" w:styleId="IndentedChar">
    <w:name w:val="Indented Char"/>
    <w:basedOn w:val="a1"/>
    <w:link w:val="Indented"/>
    <w:rsid w:val="004309B9"/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83069A"/>
    <w:pPr>
      <w:tabs>
        <w:tab w:val="left" w:pos="1701"/>
        <w:tab w:val="right" w:leader="dot" w:pos="9628"/>
      </w:tabs>
      <w:spacing w:after="100"/>
      <w:ind w:left="851"/>
    </w:pPr>
    <w:rPr>
      <w:i/>
      <w:noProof/>
      <w:sz w:val="18"/>
      <w:szCs w:val="18"/>
    </w:rPr>
  </w:style>
  <w:style w:type="paragraph" w:styleId="a">
    <w:name w:val="List Paragraph"/>
    <w:aliases w:val="Bullet"/>
    <w:basedOn w:val="a0"/>
    <w:uiPriority w:val="34"/>
    <w:qFormat/>
    <w:rsid w:val="004309B9"/>
    <w:pPr>
      <w:numPr>
        <w:numId w:val="7"/>
      </w:numPr>
      <w:ind w:left="426" w:hanging="426"/>
      <w:contextualSpacing/>
    </w:pPr>
  </w:style>
  <w:style w:type="paragraph" w:customStyle="1" w:styleId="IntentedBullet">
    <w:name w:val="Intented Bullet"/>
    <w:basedOn w:val="Indented"/>
    <w:link w:val="IntentedBulletChar"/>
    <w:qFormat/>
    <w:rsid w:val="004309B9"/>
    <w:pPr>
      <w:numPr>
        <w:numId w:val="10"/>
      </w:numPr>
      <w:ind w:left="1276" w:hanging="425"/>
      <w:contextualSpacing/>
    </w:pPr>
  </w:style>
  <w:style w:type="character" w:customStyle="1" w:styleId="IntentedBulletChar">
    <w:name w:val="Intented Bullet Char"/>
    <w:basedOn w:val="IndentedChar"/>
    <w:link w:val="IntentedBullet"/>
    <w:rsid w:val="004309B9"/>
    <w:rPr>
      <w:sz w:val="20"/>
      <w:szCs w:val="20"/>
    </w:rPr>
  </w:style>
  <w:style w:type="paragraph" w:customStyle="1" w:styleId="Subheading">
    <w:name w:val="Sub heading"/>
    <w:basedOn w:val="4"/>
    <w:link w:val="SubheadingChar"/>
    <w:qFormat/>
    <w:rsid w:val="00F5639C"/>
    <w:pPr>
      <w:numPr>
        <w:ilvl w:val="0"/>
        <w:numId w:val="0"/>
      </w:numPr>
    </w:pPr>
    <w:rPr>
      <w:color w:val="8AB059"/>
    </w:rPr>
  </w:style>
  <w:style w:type="character" w:customStyle="1" w:styleId="SubheadingChar">
    <w:name w:val="Sub heading Char"/>
    <w:basedOn w:val="40"/>
    <w:link w:val="Subheading"/>
    <w:rsid w:val="00F5639C"/>
    <w:rPr>
      <w:rFonts w:asciiTheme="majorHAnsi" w:eastAsiaTheme="majorEastAsia" w:hAnsiTheme="majorHAnsi" w:cstheme="majorBidi"/>
      <w:bCs/>
      <w:iCs/>
      <w:color w:val="8AB059"/>
      <w:sz w:val="28"/>
      <w:szCs w:val="28"/>
    </w:rPr>
  </w:style>
  <w:style w:type="table" w:styleId="ae">
    <w:name w:val="Table Grid"/>
    <w:basedOn w:val="a2"/>
    <w:uiPriority w:val="59"/>
    <w:rsid w:val="0098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0"/>
    <w:link w:val="TableChar"/>
    <w:qFormat/>
    <w:rsid w:val="007C5EAE"/>
    <w:pPr>
      <w:spacing w:before="120" w:after="120" w:line="276" w:lineRule="auto"/>
    </w:pPr>
    <w:rPr>
      <w:sz w:val="18"/>
      <w:szCs w:val="18"/>
    </w:rPr>
  </w:style>
  <w:style w:type="paragraph" w:customStyle="1" w:styleId="Default">
    <w:name w:val="Default"/>
    <w:rsid w:val="00FE1F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ableChar">
    <w:name w:val="Table Char"/>
    <w:basedOn w:val="a1"/>
    <w:link w:val="Table"/>
    <w:rsid w:val="007C5EAE"/>
    <w:rPr>
      <w:sz w:val="18"/>
      <w:szCs w:val="18"/>
    </w:rPr>
  </w:style>
  <w:style w:type="paragraph" w:customStyle="1" w:styleId="TableBullet">
    <w:name w:val="Table Bullet"/>
    <w:basedOn w:val="Table"/>
    <w:link w:val="TableBulletChar"/>
    <w:qFormat/>
    <w:rsid w:val="007C5EAE"/>
    <w:pPr>
      <w:numPr>
        <w:numId w:val="12"/>
      </w:numPr>
      <w:ind w:left="318" w:hanging="284"/>
      <w:contextualSpacing/>
    </w:pPr>
  </w:style>
  <w:style w:type="character" w:customStyle="1" w:styleId="TableBulletChar">
    <w:name w:val="Table Bullet Char"/>
    <w:basedOn w:val="TableChar"/>
    <w:link w:val="TableBullet"/>
    <w:rsid w:val="007C5EAE"/>
    <w:rPr>
      <w:sz w:val="18"/>
      <w:szCs w:val="18"/>
    </w:rPr>
  </w:style>
  <w:style w:type="character" w:styleId="af">
    <w:name w:val="line number"/>
    <w:basedOn w:val="a1"/>
    <w:uiPriority w:val="99"/>
    <w:semiHidden/>
    <w:unhideWhenUsed/>
    <w:rsid w:val="00912623"/>
  </w:style>
  <w:style w:type="character" w:customStyle="1" w:styleId="50">
    <w:name w:val="Заголовок 5 Знак"/>
    <w:aliases w:val="SBR_CH Знак"/>
    <w:basedOn w:val="a1"/>
    <w:link w:val="5"/>
    <w:uiPriority w:val="9"/>
    <w:rsid w:val="004D6CCE"/>
    <w:rPr>
      <w:rFonts w:asciiTheme="majorHAnsi" w:eastAsiaTheme="majorEastAsia" w:hAnsiTheme="majorHAnsi" w:cstheme="majorBidi"/>
      <w:color w:val="006691"/>
      <w:sz w:val="80"/>
      <w:szCs w:val="20"/>
    </w:rPr>
  </w:style>
  <w:style w:type="character" w:customStyle="1" w:styleId="UnresolvedMention1">
    <w:name w:val="Unresolved Mention1"/>
    <w:basedOn w:val="a1"/>
    <w:uiPriority w:val="99"/>
    <w:rsid w:val="00493940"/>
    <w:rPr>
      <w:color w:val="605E5C"/>
      <w:shd w:val="clear" w:color="auto" w:fill="E1DFDD"/>
    </w:rPr>
  </w:style>
  <w:style w:type="character" w:styleId="af0">
    <w:name w:val="Placeholder Text"/>
    <w:basedOn w:val="a1"/>
    <w:uiPriority w:val="99"/>
    <w:semiHidden/>
    <w:rsid w:val="00C05D49"/>
    <w:rPr>
      <w:color w:val="808080"/>
    </w:rPr>
  </w:style>
  <w:style w:type="character" w:customStyle="1" w:styleId="CHNAMESBPTitle">
    <w:name w:val="CHNAME_SBP_Title"/>
    <w:basedOn w:val="a1"/>
    <w:uiPriority w:val="1"/>
    <w:rsid w:val="00C05D49"/>
    <w:rPr>
      <w:rFonts w:ascii="Georgia" w:eastAsiaTheme="majorEastAsia" w:hAnsi="Georgia" w:cstheme="majorBidi"/>
      <w:color w:val="006691"/>
      <w:spacing w:val="5"/>
      <w:kern w:val="28"/>
      <w:sz w:val="80"/>
      <w:szCs w:val="80"/>
    </w:rPr>
  </w:style>
  <w:style w:type="character" w:customStyle="1" w:styleId="AuditTypeSBP">
    <w:name w:val="Audit_Type_SBP"/>
    <w:basedOn w:val="a1"/>
    <w:uiPriority w:val="1"/>
    <w:rsid w:val="00C05D49"/>
    <w:rPr>
      <w:color w:val="006691"/>
    </w:rPr>
  </w:style>
  <w:style w:type="character" w:customStyle="1" w:styleId="SBRCHNAME">
    <w:name w:val="SBR_CH_NAME"/>
    <w:basedOn w:val="CHNAMESBPTitle"/>
    <w:uiPriority w:val="1"/>
    <w:rsid w:val="00EF72B4"/>
    <w:rPr>
      <w:rFonts w:ascii="Georgia" w:eastAsiaTheme="majorEastAsia" w:hAnsi="Georgia" w:cstheme="majorBidi"/>
      <w:color w:val="006691"/>
      <w:spacing w:val="5"/>
      <w:kern w:val="28"/>
      <w:sz w:val="80"/>
      <w:szCs w:val="80"/>
    </w:rPr>
  </w:style>
  <w:style w:type="character" w:customStyle="1" w:styleId="SBRAuditType">
    <w:name w:val="SBR_Audit_Type"/>
    <w:basedOn w:val="AuditTypeSBP"/>
    <w:uiPriority w:val="1"/>
    <w:rsid w:val="00EF72B4"/>
    <w:rPr>
      <w:color w:val="006691"/>
    </w:rPr>
  </w:style>
  <w:style w:type="character" w:customStyle="1" w:styleId="NEWSBRCH">
    <w:name w:val="NEW_SBR_CH"/>
    <w:uiPriority w:val="1"/>
    <w:rsid w:val="005B0801"/>
    <w:rPr>
      <w:rFonts w:asciiTheme="majorHAnsi" w:hAnsiTheme="majorHAnsi"/>
      <w:vanish w:val="0"/>
      <w:color w:val="00698C"/>
      <w:sz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-cert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-cert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hurley.SWITCH\Desktop\SBP.dotx" TargetMode="External"/></Relationships>
</file>

<file path=word/theme/theme1.xml><?xml version="1.0" encoding="utf-8"?>
<a:theme xmlns:a="http://schemas.openxmlformats.org/drawingml/2006/main" name="Office Theme">
  <a:themeElements>
    <a:clrScheme name="SBP">
      <a:dk1>
        <a:sysClr val="windowText" lastClr="000000"/>
      </a:dk1>
      <a:lt1>
        <a:srgbClr val="FFFFFF"/>
      </a:lt1>
      <a:dk2>
        <a:srgbClr val="036F3B"/>
      </a:dk2>
      <a:lt2>
        <a:srgbClr val="D9E8E1"/>
      </a:lt2>
      <a:accent1>
        <a:srgbClr val="D9E8E1"/>
      </a:accent1>
      <a:accent2>
        <a:srgbClr val="8AB059"/>
      </a:accent2>
      <a:accent3>
        <a:srgbClr val="66A889"/>
      </a:accent3>
      <a:accent4>
        <a:srgbClr val="3D946D"/>
      </a:accent4>
      <a:accent5>
        <a:srgbClr val="036F3B"/>
      </a:accent5>
      <a:accent6>
        <a:srgbClr val="6B9C30"/>
      </a:accent6>
      <a:hlink>
        <a:srgbClr val="0B6F3E"/>
      </a:hlink>
      <a:folHlink>
        <a:srgbClr val="595959"/>
      </a:folHlink>
    </a:clrScheme>
    <a:fontScheme name="SBP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1A96-BFDA-478B-BDF8-BD680944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SBP.dotx</Template>
  <TotalTime>49</TotalTime>
  <Pages>21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Hurley</dc:creator>
  <cp:lastModifiedBy>Julia_Busygina</cp:lastModifiedBy>
  <cp:revision>3</cp:revision>
  <cp:lastPrinted>2020-04-14T11:44:00Z</cp:lastPrinted>
  <dcterms:created xsi:type="dcterms:W3CDTF">2021-02-05T07:40:00Z</dcterms:created>
  <dcterms:modified xsi:type="dcterms:W3CDTF">2021-02-05T08:42:00Z</dcterms:modified>
</cp:coreProperties>
</file>